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57B9A" w:rsidRPr="0005135E" w:rsidRDefault="00457B9A" w:rsidP="00457B9A">
      <w:pPr>
        <w:pBdr>
          <w:top w:val="nil"/>
          <w:left w:val="nil"/>
          <w:bottom w:val="nil"/>
          <w:right w:val="nil"/>
          <w:between w:val="nil"/>
        </w:pBdr>
        <w:rPr>
          <w:rFonts w:ascii="Times New Roman" w:eastAsia="Times New Roman" w:hAnsi="Times New Roman"/>
          <w:b/>
          <w:bCs/>
          <w:smallCaps/>
          <w:color w:val="000000"/>
          <w:sz w:val="24"/>
          <w:szCs w:val="24"/>
        </w:rPr>
      </w:pPr>
      <w:r w:rsidRPr="0005135E">
        <w:rPr>
          <w:rFonts w:ascii="Times New Roman" w:eastAsia="Times New Roman" w:hAnsi="Times New Roman"/>
          <w:b/>
          <w:bCs/>
          <w:smallCaps/>
          <w:sz w:val="24"/>
          <w:szCs w:val="24"/>
        </w:rPr>
        <w:t>CEO DUALITY, AUDIT TENURE, FIRM COMPLEXITY, AND FINANCIAL REPORTING INTEGRITY: THE MODERATING EFFECT OF FIRM RISK</w:t>
      </w:r>
    </w:p>
    <w:p w:rsidR="00457B9A" w:rsidRPr="0005135E" w:rsidRDefault="00457B9A" w:rsidP="00457B9A">
      <w:pPr>
        <w:pBdr>
          <w:top w:val="nil"/>
          <w:left w:val="nil"/>
          <w:bottom w:val="nil"/>
          <w:right w:val="nil"/>
          <w:between w:val="nil"/>
        </w:pBdr>
        <w:jc w:val="both"/>
        <w:rPr>
          <w:rFonts w:ascii="Times New Roman" w:eastAsia="Times New Roman" w:hAnsi="Times New Roman"/>
          <w:b/>
          <w:bCs/>
          <w:color w:val="000000"/>
          <w:sz w:val="24"/>
          <w:szCs w:val="24"/>
        </w:rPr>
      </w:pPr>
    </w:p>
    <w:p w:rsidR="00457B9A" w:rsidRPr="0005135E" w:rsidRDefault="00457B9A" w:rsidP="00457B9A">
      <w:pPr>
        <w:rPr>
          <w:rFonts w:ascii="Times New Roman" w:eastAsia="Times New Roman" w:hAnsi="Times New Roman"/>
          <w:color w:val="000000"/>
          <w:sz w:val="24"/>
          <w:szCs w:val="24"/>
        </w:rPr>
      </w:pPr>
      <w:proofErr w:type="spellStart"/>
      <w:r w:rsidRPr="0005135E">
        <w:rPr>
          <w:rFonts w:ascii="Times New Roman" w:eastAsia="Times New Roman" w:hAnsi="Times New Roman"/>
          <w:color w:val="000000"/>
          <w:sz w:val="24"/>
          <w:szCs w:val="24"/>
        </w:rPr>
        <w:t>Chantika</w:t>
      </w:r>
      <w:proofErr w:type="spellEnd"/>
      <w:r w:rsidRPr="0005135E">
        <w:rPr>
          <w:rFonts w:ascii="Times New Roman" w:eastAsia="Times New Roman" w:hAnsi="Times New Roman"/>
          <w:color w:val="000000"/>
          <w:sz w:val="24"/>
          <w:szCs w:val="24"/>
        </w:rPr>
        <w:t xml:space="preserve"> Nurfitriani</w:t>
      </w:r>
      <w:r w:rsidRPr="0005135E">
        <w:rPr>
          <w:rFonts w:ascii="Times New Roman" w:eastAsia="Times New Roman" w:hAnsi="Times New Roman"/>
          <w:color w:val="000000"/>
          <w:sz w:val="24"/>
          <w:szCs w:val="24"/>
          <w:vertAlign w:val="superscript"/>
        </w:rPr>
        <w:t>1</w:t>
      </w:r>
      <w:r w:rsidRPr="0005135E">
        <w:rPr>
          <w:rFonts w:ascii="Times New Roman" w:eastAsia="Times New Roman" w:hAnsi="Times New Roman"/>
          <w:color w:val="000000"/>
          <w:sz w:val="24"/>
          <w:szCs w:val="24"/>
        </w:rPr>
        <w:t>*</w:t>
      </w:r>
      <w:r w:rsidRPr="0005135E">
        <w:rPr>
          <w:rFonts w:ascii="Times New Roman" w:eastAsia="Times New Roman" w:hAnsi="Times New Roman"/>
          <w:sz w:val="24"/>
          <w:szCs w:val="24"/>
        </w:rPr>
        <w:t xml:space="preserve">, </w:t>
      </w:r>
      <w:proofErr w:type="spellStart"/>
      <w:r w:rsidRPr="0005135E">
        <w:rPr>
          <w:rFonts w:ascii="Times New Roman" w:eastAsia="Times New Roman" w:hAnsi="Times New Roman"/>
          <w:color w:val="000000"/>
          <w:sz w:val="24"/>
          <w:szCs w:val="24"/>
        </w:rPr>
        <w:t>Imas</w:t>
      </w:r>
      <w:proofErr w:type="spellEnd"/>
      <w:r w:rsidRPr="0005135E">
        <w:rPr>
          <w:rFonts w:ascii="Times New Roman" w:eastAsia="Times New Roman" w:hAnsi="Times New Roman"/>
          <w:color w:val="000000"/>
          <w:sz w:val="24"/>
          <w:szCs w:val="24"/>
        </w:rPr>
        <w:t xml:space="preserve"> Kismanah</w:t>
      </w:r>
      <w:r w:rsidRPr="0005135E">
        <w:rPr>
          <w:rFonts w:ascii="Times New Roman" w:eastAsia="Times New Roman" w:hAnsi="Times New Roman"/>
          <w:color w:val="000000"/>
          <w:sz w:val="24"/>
          <w:szCs w:val="24"/>
          <w:vertAlign w:val="superscript"/>
        </w:rPr>
        <w:t>2</w:t>
      </w:r>
    </w:p>
    <w:p w:rsidR="00457B9A" w:rsidRPr="0005135E" w:rsidRDefault="00457B9A" w:rsidP="00457B9A">
      <w:pPr>
        <w:rPr>
          <w:rFonts w:ascii="Times New Roman" w:eastAsia="Times New Roman" w:hAnsi="Times New Roman"/>
          <w:color w:val="000000"/>
          <w:sz w:val="24"/>
          <w:szCs w:val="24"/>
        </w:rPr>
      </w:pPr>
      <w:r w:rsidRPr="0005135E">
        <w:rPr>
          <w:rFonts w:ascii="Times New Roman" w:eastAsia="Times New Roman" w:hAnsi="Times New Roman"/>
          <w:color w:val="000000"/>
          <w:sz w:val="24"/>
          <w:szCs w:val="24"/>
          <w:vertAlign w:val="superscript"/>
        </w:rPr>
        <w:t>1.2</w:t>
      </w:r>
      <w:r w:rsidRPr="0005135E">
        <w:rPr>
          <w:rFonts w:ascii="Times New Roman" w:eastAsia="Times New Roman" w:hAnsi="Times New Roman"/>
          <w:color w:val="000000"/>
          <w:sz w:val="24"/>
          <w:szCs w:val="24"/>
        </w:rPr>
        <w:t>Accounting Study Program, Faculty of Economics and Business, Muhammadiyah University of Tangerang, Indonesia</w:t>
      </w:r>
    </w:p>
    <w:p w:rsidR="00457B9A" w:rsidRPr="0005135E" w:rsidRDefault="009B654B" w:rsidP="00457B9A">
      <w:pPr>
        <w:pStyle w:val="Heading3"/>
        <w:spacing w:line="240" w:lineRule="auto"/>
        <w:rPr>
          <w:rFonts w:ascii="Times New Roman" w:eastAsia="Times New Roman" w:hAnsi="Times New Roman"/>
          <w:b w:val="0"/>
          <w:lang w:val="en-US"/>
        </w:rPr>
      </w:pPr>
      <w:r w:rsidRPr="0005135E">
        <w:rPr>
          <w:rFonts w:ascii="Times New Roman" w:eastAsia="Times New Roman" w:hAnsi="Times New Roman"/>
          <w:b w:val="0"/>
          <w:caps w:val="0"/>
          <w:lang w:val="en-US"/>
        </w:rPr>
        <w:t>*Corresponding Author:</w:t>
      </w:r>
    </w:p>
    <w:p w:rsidR="00457B9A" w:rsidRPr="009B654B" w:rsidRDefault="00000000" w:rsidP="00457B9A">
      <w:pPr>
        <w:pStyle w:val="Heading3"/>
        <w:spacing w:line="240" w:lineRule="auto"/>
        <w:rPr>
          <w:rFonts w:ascii="Times New Roman" w:eastAsia="Times New Roman" w:hAnsi="Times New Roman"/>
          <w:b w:val="0"/>
          <w:u w:val="single"/>
          <w:lang w:val="en-US"/>
        </w:rPr>
      </w:pPr>
      <w:hyperlink r:id="rId7" w:history="1">
        <w:r w:rsidR="00457B9A" w:rsidRPr="009B654B">
          <w:rPr>
            <w:rStyle w:val="Hyperlink"/>
            <w:rFonts w:ascii="Times New Roman" w:eastAsia="Times New Roman" w:hAnsi="Times New Roman"/>
            <w:b w:val="0"/>
            <w:caps w:val="0"/>
            <w:u w:val="single"/>
            <w:lang w:val="en-US"/>
          </w:rPr>
          <w:t>chantika3006@gmail.com</w:t>
        </w:r>
      </w:hyperlink>
      <w:r w:rsidR="00457B9A" w:rsidRPr="009B654B">
        <w:rPr>
          <w:rFonts w:ascii="Times New Roman" w:eastAsia="Times New Roman" w:hAnsi="Times New Roman"/>
          <w:b w:val="0"/>
          <w:caps w:val="0"/>
          <w:u w:val="single"/>
          <w:lang w:val="en-US"/>
        </w:rPr>
        <w:t xml:space="preserve"> </w:t>
      </w:r>
    </w:p>
    <w:p w:rsidR="00457B9A" w:rsidRPr="0005135E" w:rsidRDefault="00457B9A" w:rsidP="00457B9A">
      <w:pPr>
        <w:pStyle w:val="Heading3"/>
        <w:spacing w:line="240" w:lineRule="auto"/>
        <w:rPr>
          <w:rFonts w:ascii="Times New Roman" w:eastAsia="Times New Roman" w:hAnsi="Times New Roman"/>
          <w:b w:val="0"/>
          <w:lang w:val="en-US"/>
        </w:rPr>
      </w:pPr>
    </w:p>
    <w:p w:rsidR="00457B9A" w:rsidRPr="0005135E" w:rsidRDefault="00457B9A" w:rsidP="00457B9A">
      <w:pPr>
        <w:pBdr>
          <w:top w:val="single" w:sz="4" w:space="1" w:color="000000"/>
          <w:left w:val="nil"/>
          <w:bottom w:val="nil"/>
          <w:right w:val="nil"/>
          <w:between w:val="nil"/>
        </w:pBdr>
        <w:jc w:val="left"/>
        <w:rPr>
          <w:rFonts w:ascii="Times New Roman" w:eastAsia="Times New Roman" w:hAnsi="Times New Roman"/>
          <w:color w:val="000000"/>
          <w:sz w:val="24"/>
          <w:szCs w:val="24"/>
        </w:rPr>
      </w:pPr>
      <w:r w:rsidRPr="0005135E">
        <w:rPr>
          <w:rFonts w:ascii="Times New Roman" w:eastAsia="Times New Roman" w:hAnsi="Times New Roman"/>
          <w:b/>
          <w:bCs/>
          <w:color w:val="000000"/>
          <w:sz w:val="40"/>
          <w:szCs w:val="40"/>
          <w:vertAlign w:val="subscript"/>
        </w:rPr>
        <w:t>Abstract</w:t>
      </w:r>
    </w:p>
    <w:p w:rsidR="00457B9A" w:rsidRPr="0005135E" w:rsidRDefault="00457B9A" w:rsidP="00457B9A">
      <w:pPr>
        <w:pStyle w:val="Heading1"/>
        <w:spacing w:line="240" w:lineRule="auto"/>
        <w:rPr>
          <w:rFonts w:ascii="Times New Roman" w:eastAsia="Times New Roman" w:hAnsi="Times New Roman"/>
          <w:sz w:val="24"/>
          <w:szCs w:val="24"/>
          <w:lang w:val="en-US"/>
        </w:rPr>
      </w:pPr>
      <w:r w:rsidRPr="0005135E">
        <w:rPr>
          <w:rFonts w:ascii="Times New Roman" w:eastAsia="Times New Roman" w:hAnsi="Times New Roman"/>
          <w:sz w:val="24"/>
          <w:szCs w:val="24"/>
          <w:lang w:val="en-US"/>
        </w:rPr>
        <w:t>This study investigates what factors influence financial statement integrity within the property and real estate sector. This particular sector carries two distinctive characteristics: operational complexity and high financial pressure. Prior research examining CEO duality, audit tenure, and firm complexity has yielded inconsistent findings across different studies. Furthermore, the moderating role of firm risk in these relationships remains largely underexplored. These conditions point to a clear research gap. The present study analyzes how governance attributes influence financial statement integrity. It also examines whether firm risk moderates these relationships. Secondary data from the 2020 to 2024 period provides the empirical foundation. Panel regression combined with a moderated regression analysis approach serves as the analytical technique. Several findings emerge from the results. Audit tenure shows a significant negative effect on financial statement integrity. CEO duality and firm complexity demonstrate no significant impact. Firm risk significantly moderates the effects of audit tenure and firm complexity. However, firm risk does not moderate the CEO duality relationship. The study concludes that auditor independence and firm risk levels occupy an essential role in determining financial reporting quality.</w:t>
      </w:r>
    </w:p>
    <w:p w:rsidR="00457B9A" w:rsidRPr="0005135E" w:rsidRDefault="00457B9A" w:rsidP="00457B9A">
      <w:pPr>
        <w:jc w:val="left"/>
        <w:rPr>
          <w:rFonts w:ascii="Times New Roman" w:eastAsia="Times New Roman" w:hAnsi="Times New Roman"/>
          <w:sz w:val="24"/>
          <w:szCs w:val="24"/>
        </w:rPr>
      </w:pPr>
    </w:p>
    <w:p w:rsidR="00457B9A" w:rsidRPr="0005135E" w:rsidRDefault="00457B9A" w:rsidP="00645FE3">
      <w:pPr>
        <w:pBdr>
          <w:bottom w:val="single" w:sz="4" w:space="1" w:color="000000"/>
        </w:pBdr>
        <w:jc w:val="both"/>
        <w:rPr>
          <w:rFonts w:ascii="Times New Roman" w:eastAsia="Times New Roman" w:hAnsi="Times New Roman"/>
          <w:sz w:val="24"/>
          <w:szCs w:val="24"/>
        </w:rPr>
      </w:pPr>
      <w:r w:rsidRPr="0005135E">
        <w:rPr>
          <w:rFonts w:ascii="Times New Roman" w:eastAsia="Times New Roman" w:hAnsi="Times New Roman"/>
          <w:sz w:val="24"/>
          <w:szCs w:val="24"/>
        </w:rPr>
        <w:t>Keywords: CEO Duality, Audit Tenure, Firm Complexity, Firm Risk, Financial Statement Integrity</w:t>
      </w:r>
    </w:p>
    <w:p w:rsidR="00457B9A" w:rsidRPr="0005135E" w:rsidRDefault="00457B9A" w:rsidP="00457B9A">
      <w:pPr>
        <w:pStyle w:val="Heading3"/>
        <w:spacing w:line="240" w:lineRule="auto"/>
        <w:jc w:val="both"/>
        <w:rPr>
          <w:rFonts w:ascii="Times New Roman" w:eastAsia="Times New Roman" w:hAnsi="Times New Roman"/>
          <w:lang w:val="en-US"/>
        </w:rPr>
      </w:pPr>
    </w:p>
    <w:p w:rsidR="00457B9A" w:rsidRPr="0005135E" w:rsidRDefault="009B654B" w:rsidP="00457B9A">
      <w:pPr>
        <w:pStyle w:val="Heading3"/>
        <w:numPr>
          <w:ilvl w:val="0"/>
          <w:numId w:val="1"/>
        </w:numPr>
        <w:spacing w:line="240" w:lineRule="auto"/>
        <w:ind w:left="284" w:hanging="284"/>
        <w:jc w:val="both"/>
        <w:rPr>
          <w:rFonts w:ascii="Times New Roman" w:eastAsia="Times New Roman" w:hAnsi="Times New Roman"/>
          <w:lang w:val="en-US"/>
        </w:rPr>
      </w:pPr>
      <w:r w:rsidRPr="0005135E">
        <w:rPr>
          <w:rFonts w:ascii="Times New Roman" w:eastAsia="Times New Roman" w:hAnsi="Times New Roman"/>
          <w:caps w:val="0"/>
          <w:lang w:val="en-US"/>
        </w:rPr>
        <w:t>Introduction</w:t>
      </w:r>
    </w:p>
    <w:p w:rsidR="00457B9A" w:rsidRPr="0005135E" w:rsidRDefault="00457B9A" w:rsidP="00457B9A">
      <w:pPr>
        <w:ind w:firstLine="284"/>
        <w:jc w:val="both"/>
        <w:rPr>
          <w:rFonts w:ascii="Times New Roman" w:eastAsia="Times New Roman" w:hAnsi="Times New Roman"/>
          <w:sz w:val="24"/>
          <w:szCs w:val="24"/>
        </w:rPr>
      </w:pPr>
      <w:r w:rsidRPr="0005135E">
        <w:rPr>
          <w:rFonts w:ascii="Times New Roman" w:eastAsia="Times New Roman" w:hAnsi="Times New Roman"/>
          <w:sz w:val="24"/>
          <w:szCs w:val="24"/>
        </w:rPr>
        <w:t xml:space="preserve">Financial statements act as structured documents prepared systematically. These documents describe a company's performance and financial position. Various stakeholders use the statements as a fundamental basis for economic decision-making. The statements require reliability assurance through honest, accurate, and principle-compliant presentation. This presentation remains free from unlawful manipulation. Such a presentation fulfills the characteristics of information integrity </w:t>
      </w:r>
      <w:r w:rsidRPr="0005135E">
        <w:rPr>
          <w:rFonts w:ascii="Times New Roman" w:eastAsia="Times New Roman" w:hAnsi="Times New Roman"/>
          <w:sz w:val="24"/>
          <w:szCs w:val="24"/>
        </w:rPr>
        <w:fldChar w:fldCharType="begin" w:fldLock="1"/>
      </w:r>
      <w:r w:rsidRPr="0005135E">
        <w:rPr>
          <w:rFonts w:ascii="Times New Roman" w:eastAsia="Times New Roman" w:hAnsi="Times New Roman"/>
          <w:sz w:val="24"/>
          <w:szCs w:val="24"/>
        </w:rPr>
        <w:instrText>ADDIN CSL_CITATION {"citationItems":[{"id":"ITEM-1","itemData":{"ISSN":"2716-2710","abstract":"Financial statement integrity is how financial statements should be presented correctly because they will be accounted for to stakeholders. The existence of audit quality, audit tenure, leverage, liquidity and profitability are factors that can affect the integrity of financial statements. This study aims to reexamine the effect of audit quality, audit tenure, leverage, liquidity and profitability on the integrity of financial statements. The population in this study was 125 primary consumer goods sector companies listed on the Indonesia Stock Exchange. The sampling method used was the purposive sampling method. The sample determination method obtained was 59 companies. The data analysis technique used was multiple linear regression analysis. The results showed that audit quality, leverage, and liquidity did not affect the integrity of financial statements. Audit tenure had a positive effect on the integrity of financial statements, while profitability had a negative effect on the integrity of financial statements.","author":[{"dropping-particle":"","family":"Gusti Ayu Intan Purnama Sari","given":"I","non-dropping-particle":"","parse-names":false,"suffix":""},{"dropping-particle":"","family":"Ayu Nirma Prameswari","given":"Ida","non-dropping-particle":"","parse-names":false,"suffix":""},{"dropping-particle":"","family":"Made Mya Yudia Sari","given":"Desak","non-dropping-particle":"","parse-names":false,"suffix":""}],"container-title":"Kumpulan Hasil Riset Mahasiswa Akuntansi (KHARISMA)","id":"ITEM-1","issue":"2","issued":{"date-parts":[["2025"]]},"page":"558-570","title":"Faktor-faktor yang Mempengaruhi Integritas Laporan Keuangan Perusahaan Sektor Barang Konsumen Primer yang Terdaftar di BEI Tahun 2021-2023","type":"article-journal","volume":"7"},"uris":["http://www.mendeley.com/documents/?uuid=8948fced-9fe4-37e3-9fe4-4b64f1c125ca"]}],"mendeley":{"formattedCitation":"(Gusti Ayu Intan Purnama Sari et al., 2025)","plainTextFormattedCitation":"(Gusti Ayu Intan Purnama Sari et al., 2025)","previouslyFormattedCitation":"(Gusti Ayu Intan Purnama Sari et al., 2025)"},"properties":{"noteIndex":0},"schema":"https://github.com/citation-style-language/schema/raw/master/csl-citation.json"}</w:instrText>
      </w:r>
      <w:r w:rsidRPr="0005135E">
        <w:rPr>
          <w:rFonts w:ascii="Times New Roman" w:eastAsia="Times New Roman" w:hAnsi="Times New Roman"/>
          <w:sz w:val="24"/>
          <w:szCs w:val="24"/>
        </w:rPr>
        <w:fldChar w:fldCharType="separate"/>
      </w:r>
      <w:r w:rsidRPr="0005135E">
        <w:rPr>
          <w:rFonts w:ascii="Times New Roman" w:eastAsia="Times New Roman" w:hAnsi="Times New Roman"/>
          <w:noProof/>
          <w:sz w:val="24"/>
          <w:szCs w:val="24"/>
        </w:rPr>
        <w:t>(Gusti Ayu Intan Purnama Sari et al., 2025)</w:t>
      </w:r>
      <w:r w:rsidRPr="0005135E">
        <w:rPr>
          <w:rFonts w:ascii="Times New Roman" w:eastAsia="Times New Roman" w:hAnsi="Times New Roman"/>
          <w:sz w:val="24"/>
          <w:szCs w:val="24"/>
        </w:rPr>
        <w:fldChar w:fldCharType="end"/>
      </w:r>
      <w:r w:rsidRPr="0005135E">
        <w:rPr>
          <w:rFonts w:ascii="Times New Roman" w:eastAsia="Times New Roman" w:hAnsi="Times New Roman"/>
          <w:sz w:val="24"/>
          <w:szCs w:val="24"/>
        </w:rPr>
        <w:t xml:space="preserve">. Within the context of modern financial reporting, information integrity has been positioned as an essential element for meeting user needs, particularly investors and creditors, who depend on relevant, understandable, and high-quality disclosures that align with established reporting standards </w:t>
      </w:r>
      <w:r w:rsidRPr="0005135E">
        <w:rPr>
          <w:rFonts w:ascii="Times New Roman" w:eastAsia="Times New Roman" w:hAnsi="Times New Roman"/>
          <w:sz w:val="24"/>
          <w:szCs w:val="24"/>
        </w:rPr>
        <w:fldChar w:fldCharType="begin" w:fldLock="1"/>
      </w:r>
      <w:r w:rsidRPr="0005135E">
        <w:rPr>
          <w:rFonts w:ascii="Times New Roman" w:eastAsia="Times New Roman" w:hAnsi="Times New Roman"/>
          <w:sz w:val="24"/>
          <w:szCs w:val="24"/>
        </w:rPr>
        <w:instrText>ADDIN CSL_CITATION {"citationItems":[{"id":"ITEM-1","itemData":{"DOI":"10.33087/jiubj.v22i1.2012","ISSN":"2549-4236","abstract":"&lt;p&gt;This study aims to determine the effect of the public accounting firm size, audit tenure, audit fee and auditor independence on the integrity of financial statements on mining companies listed on the Indonesia Stock Exchange (IDX) in 2014-2018. Accounting conservatism is used to measure the integrity of financial statements. The subjects examined in this study were mining companies listed on the Indonesia Stock Exchange in 2014-2018. The sample is selected by purposive sampling method and 19 companies were obtained as samples from a total population of 49 companies. The observation period in this study is 5 years and obtain a total of 95 data.. The analytical tool used is logistic regression analysis. The results of this research shows that public accounting firm size, audit tenure, audit fee and auditor independence simultaneously affect the integrity of financial statements. Partially, this research proves that public accounting firm size and auditor independence affect the integrity of financial statements while audit tenure and audit fees do not affect the integrity of financial statements.&lt;/p&gt;","author":[{"dropping-particle":"","family":"Auliyah","given":"Al Hafiz Fitra","non-dropping-particle":"","parse-names":false,"suffix":""},{"dropping-particle":"","family":"Fitriyani","given":"Dewi","non-dropping-particle":"","parse-names":false,"suffix":""},{"dropping-particle":"","family":"Herawaty","given":"Netty","non-dropping-particle":"","parse-names":false,"suffix":""}],"container-title":"Jurnal Ilmiah Universitas Batanghari Jambi","id":"ITEM-1","issue":"1","issued":{"date-parts":[["2022","2","19"]]},"page":"272","title":"Analisis Pengaruh Ukuran KAP, Audit Tenure, Audit Fee dan Independensi Auditor Terhadap Integritas Laporan Keuangan","type":"article-journal","volume":"22"},"uris":["http://www.mendeley.com/documents/?uuid=b3055fe9-7d6a-3038-9655-a1481d6ab1a0"]}],"mendeley":{"formattedCitation":"(Auliyah et al., 2022)","plainTextFormattedCitation":"(Auliyah et al., 2022)","previouslyFormattedCitation":"(Auliyah et al., 2022)"},"properties":{"noteIndex":0},"schema":"https://github.com/citation-style-language/schema/raw/master/csl-citation.json"}</w:instrText>
      </w:r>
      <w:r w:rsidRPr="0005135E">
        <w:rPr>
          <w:rFonts w:ascii="Times New Roman" w:eastAsia="Times New Roman" w:hAnsi="Times New Roman"/>
          <w:sz w:val="24"/>
          <w:szCs w:val="24"/>
        </w:rPr>
        <w:fldChar w:fldCharType="separate"/>
      </w:r>
      <w:r w:rsidRPr="0005135E">
        <w:rPr>
          <w:rFonts w:ascii="Times New Roman" w:eastAsia="Times New Roman" w:hAnsi="Times New Roman"/>
          <w:noProof/>
          <w:sz w:val="24"/>
          <w:szCs w:val="24"/>
        </w:rPr>
        <w:t>(Auliyah et al., 2022)</w:t>
      </w:r>
      <w:r w:rsidRPr="0005135E">
        <w:rPr>
          <w:rFonts w:ascii="Times New Roman" w:eastAsia="Times New Roman" w:hAnsi="Times New Roman"/>
          <w:sz w:val="24"/>
          <w:szCs w:val="24"/>
        </w:rPr>
        <w:fldChar w:fldCharType="end"/>
      </w:r>
      <w:r w:rsidRPr="0005135E">
        <w:rPr>
          <w:rFonts w:ascii="Times New Roman" w:eastAsia="Times New Roman" w:hAnsi="Times New Roman"/>
          <w:sz w:val="24"/>
          <w:szCs w:val="24"/>
        </w:rPr>
        <w:t>.</w:t>
      </w:r>
    </w:p>
    <w:p w:rsidR="00457B9A" w:rsidRPr="0005135E" w:rsidRDefault="00457B9A" w:rsidP="00457B9A">
      <w:pPr>
        <w:ind w:firstLine="284"/>
        <w:jc w:val="both"/>
        <w:rPr>
          <w:rFonts w:ascii="Times New Roman" w:eastAsia="Times New Roman" w:hAnsi="Times New Roman"/>
          <w:sz w:val="24"/>
          <w:szCs w:val="24"/>
        </w:rPr>
      </w:pPr>
      <w:r w:rsidRPr="0005135E">
        <w:rPr>
          <w:rFonts w:ascii="Times New Roman" w:eastAsia="Times New Roman" w:hAnsi="Times New Roman"/>
          <w:sz w:val="24"/>
          <w:szCs w:val="24"/>
        </w:rPr>
        <w:t xml:space="preserve">The importance of reporting integrity has been increasingly emphasized in the rapidly growing property and real estate sector, where business activities are characterized by high operational complexity and long-term project risks. Phenomena of financial statement manipulation have been widely identified, including the case of </w:t>
      </w:r>
      <w:proofErr w:type="spellStart"/>
      <w:r w:rsidRPr="0005135E">
        <w:rPr>
          <w:rFonts w:ascii="Times New Roman" w:eastAsia="Times New Roman" w:hAnsi="Times New Roman"/>
          <w:sz w:val="24"/>
          <w:szCs w:val="24"/>
        </w:rPr>
        <w:t>Hengda</w:t>
      </w:r>
      <w:proofErr w:type="spellEnd"/>
      <w:r w:rsidRPr="0005135E">
        <w:rPr>
          <w:rFonts w:ascii="Times New Roman" w:eastAsia="Times New Roman" w:hAnsi="Times New Roman"/>
          <w:sz w:val="24"/>
          <w:szCs w:val="24"/>
        </w:rPr>
        <w:t xml:space="preserve"> Real Estate Group in China, which resulted in significant regulatory sanctions and demonstrated the severe consequences of declining integrity (CNBC Indonesia, 2024). </w:t>
      </w:r>
      <w:r w:rsidRPr="0005135E">
        <w:rPr>
          <w:rFonts w:ascii="Times New Roman" w:eastAsia="Times New Roman" w:hAnsi="Times New Roman"/>
          <w:sz w:val="24"/>
          <w:szCs w:val="24"/>
        </w:rPr>
        <w:lastRenderedPageBreak/>
        <w:t>Similar issues have also been indicated in the Indonesian context, particularly in allegations involving major construction related state owned enterprises, where discrepancies between accounting profits and operating cash flows, findings of income manipulation, and fictitious project disclosures revealed weaknesses in reporting practices and oversight mechanisms (CNN Indonesia, 2023). These conditions further illustrated the challenges arising from the application of PSAK seventy-two on revenue recognition, in which the flexibility of managerial judgment in determining project completion progress created opportunities for inappropriate acceleration of revenue recognition. Investigative audit findings by BPKP confirming manipulated revenue and fictitious projects further strengthened evidence of decreasing reporting integrity among state owned construction firms (Liputan6, 2023), while regulatory authorities reaffirmed their commitment to impose sanctions for such violations (Metro TV News, 2023). Deteriorating financial conditions, debt restructuring, and the suspension of stock trading highlighted the association between declining integrity and a company’s real inability to meet financial obligations (</w:t>
      </w:r>
      <w:proofErr w:type="spellStart"/>
      <w:r w:rsidRPr="0005135E">
        <w:rPr>
          <w:rFonts w:ascii="Times New Roman" w:eastAsia="Times New Roman" w:hAnsi="Times New Roman"/>
          <w:sz w:val="24"/>
          <w:szCs w:val="24"/>
        </w:rPr>
        <w:t>IndoPremier</w:t>
      </w:r>
      <w:proofErr w:type="spellEnd"/>
      <w:r w:rsidRPr="0005135E">
        <w:rPr>
          <w:rFonts w:ascii="Times New Roman" w:eastAsia="Times New Roman" w:hAnsi="Times New Roman"/>
          <w:sz w:val="24"/>
          <w:szCs w:val="24"/>
        </w:rPr>
        <w:t xml:space="preserve"> </w:t>
      </w:r>
      <w:proofErr w:type="spellStart"/>
      <w:r w:rsidRPr="0005135E">
        <w:rPr>
          <w:rFonts w:ascii="Times New Roman" w:eastAsia="Times New Roman" w:hAnsi="Times New Roman"/>
          <w:sz w:val="24"/>
          <w:szCs w:val="24"/>
        </w:rPr>
        <w:t>Sekuritas</w:t>
      </w:r>
      <w:proofErr w:type="spellEnd"/>
      <w:r w:rsidRPr="0005135E">
        <w:rPr>
          <w:rFonts w:ascii="Times New Roman" w:eastAsia="Times New Roman" w:hAnsi="Times New Roman"/>
          <w:sz w:val="24"/>
          <w:szCs w:val="24"/>
        </w:rPr>
        <w:t>, 2025).</w:t>
      </w:r>
    </w:p>
    <w:p w:rsidR="00457B9A" w:rsidRPr="0005135E" w:rsidRDefault="00457B9A" w:rsidP="00457B9A">
      <w:pPr>
        <w:ind w:firstLine="284"/>
        <w:jc w:val="both"/>
        <w:rPr>
          <w:rFonts w:ascii="Times New Roman" w:eastAsia="Times New Roman" w:hAnsi="Times New Roman"/>
          <w:sz w:val="24"/>
          <w:szCs w:val="24"/>
        </w:rPr>
      </w:pPr>
      <w:r w:rsidRPr="0005135E">
        <w:rPr>
          <w:rFonts w:ascii="Times New Roman" w:eastAsia="Times New Roman" w:hAnsi="Times New Roman"/>
          <w:sz w:val="24"/>
          <w:szCs w:val="24"/>
        </w:rPr>
        <w:t xml:space="preserve">These phenomena have highlighted the urgency of examining governance mechanisms believed to influence the integrity of financial reporting. Three governance factors, namely CEO duality, audit tenure, and firm complexity, have been widely discussed in the literature, yet their empirical findings remain inconsistent. Studies on CEO duality have shown mixed results, ranging from insignificant relationships </w:t>
      </w:r>
      <w:r w:rsidRPr="0005135E">
        <w:rPr>
          <w:rFonts w:ascii="Times New Roman" w:eastAsia="Times New Roman" w:hAnsi="Times New Roman"/>
          <w:sz w:val="24"/>
          <w:szCs w:val="24"/>
        </w:rPr>
        <w:fldChar w:fldCharType="begin" w:fldLock="1"/>
      </w:r>
      <w:r w:rsidRPr="0005135E">
        <w:rPr>
          <w:rFonts w:ascii="Times New Roman" w:eastAsia="Times New Roman" w:hAnsi="Times New Roman"/>
          <w:sz w:val="24"/>
          <w:szCs w:val="24"/>
        </w:rPr>
        <w:instrText>ADDIN CSL_CITATION {"citationItems":[{"id":"ITEM-1","itemData":{"DOI":"10.33087/jiubj.v22i1.2012","ISSN":"2549-4236","abstract":"&lt;p&gt;This study aims to determine the effect of the public accounting firm size, audit tenure, audit fee and auditor independence on the integrity of financial statements on mining companies listed on the Indonesia Stock Exchange (IDX) in 2014-2018. Accounting conservatism is used to measure the integrity of financial statements. The subjects examined in this study were mining companies listed on the Indonesia Stock Exchange in 2014-2018. The sample is selected by purposive sampling method and 19 companies were obtained as samples from a total population of 49 companies. The observation period in this study is 5 years and obtain a total of 95 data.. The analytical tool used is logistic regression analysis. The results of this research shows that public accounting firm size, audit tenure, audit fee and auditor independence simultaneously affect the integrity of financial statements. Partially, this research proves that public accounting firm size and auditor independence affect the integrity of financial statements while audit tenure and audit fees do not affect the integrity of financial statements.&lt;/p&gt;","author":[{"dropping-particle":"","family":"Auliyah","given":"Al Hafiz Fitra","non-dropping-particle":"","parse-names":false,"suffix":""},{"dropping-particle":"","family":"Fitriyani","given":"Dewi","non-dropping-particle":"","parse-names":false,"suffix":""},{"dropping-particle":"","family":"Herawaty","given":"Netty","non-dropping-particle":"","parse-names":false,"suffix":""}],"container-title":"Jurnal Ilmiah Universitas Batanghari Jambi","id":"ITEM-1","issue":"1","issued":{"date-parts":[["2022","2","19"]]},"page":"272","title":"Analisis Pengaruh Ukuran KAP, Audit Tenure, Audit Fee dan Independensi Auditor Terhadap Integritas Laporan Keuangan","type":"article-journal","volume":"22"},"uris":["http://www.mendeley.com/documents/?uuid=b3055fe9-7d6a-3038-9655-a1481d6ab1a0"]}],"mendeley":{"formattedCitation":"(Auliyah et al., 2022)","plainTextFormattedCitation":"(Auliyah et al., 2022)","previouslyFormattedCitation":"(Auliyah et al., 2022)"},"properties":{"noteIndex":0},"schema":"https://github.com/citation-style-language/schema/raw/master/csl-citation.json"}</w:instrText>
      </w:r>
      <w:r w:rsidRPr="0005135E">
        <w:rPr>
          <w:rFonts w:ascii="Times New Roman" w:eastAsia="Times New Roman" w:hAnsi="Times New Roman"/>
          <w:sz w:val="24"/>
          <w:szCs w:val="24"/>
        </w:rPr>
        <w:fldChar w:fldCharType="separate"/>
      </w:r>
      <w:r w:rsidRPr="0005135E">
        <w:rPr>
          <w:rFonts w:ascii="Times New Roman" w:eastAsia="Times New Roman" w:hAnsi="Times New Roman"/>
          <w:noProof/>
          <w:sz w:val="24"/>
          <w:szCs w:val="24"/>
        </w:rPr>
        <w:t>(Auliyah et al., 2022)</w:t>
      </w:r>
      <w:r w:rsidRPr="0005135E">
        <w:rPr>
          <w:rFonts w:ascii="Times New Roman" w:eastAsia="Times New Roman" w:hAnsi="Times New Roman"/>
          <w:sz w:val="24"/>
          <w:szCs w:val="24"/>
        </w:rPr>
        <w:fldChar w:fldCharType="end"/>
      </w:r>
      <w:r w:rsidRPr="0005135E">
        <w:rPr>
          <w:rFonts w:ascii="Times New Roman" w:eastAsia="Times New Roman" w:hAnsi="Times New Roman"/>
          <w:sz w:val="24"/>
          <w:szCs w:val="24"/>
        </w:rPr>
        <w:t xml:space="preserve">, negative associations with fraudulent behavior </w:t>
      </w:r>
      <w:r w:rsidRPr="0005135E">
        <w:rPr>
          <w:rFonts w:ascii="Times New Roman" w:eastAsia="Times New Roman" w:hAnsi="Times New Roman"/>
          <w:sz w:val="24"/>
          <w:szCs w:val="24"/>
        </w:rPr>
        <w:fldChar w:fldCharType="begin" w:fldLock="1"/>
      </w:r>
      <w:r w:rsidRPr="0005135E">
        <w:rPr>
          <w:rFonts w:ascii="Times New Roman" w:eastAsia="Times New Roman" w:hAnsi="Times New Roman"/>
          <w:sz w:val="24"/>
          <w:szCs w:val="24"/>
        </w:rPr>
        <w:instrText>ADDIN CSL_CITATION {"citationItems":[{"id":"ITEM-1","itemData":{"DOI":"10.17977/um004v11i12024p019","ISSN":"20879695","abstract":"Purpose: This study investigates the determinants of financial statement fraud from the perspectives of fraud pentagon theory. It is important to study the issue within the context of state-owned companies (BUMN) as stakeholders pay a lot of attention on the companies.Method: This research is quantitative one, with a logistic regression analysis of the 16 BUMN's financial statements listed on the Indonesian Stock Exchanges for the period of five years (2018-2022). The F-Score model is adopted to measure the indications of fraudulent statement of the companies.Findings: The findings show that the five components of fraud pentagon theory do not fully determine the the indication of fraudulent financial statements of the companies. Only financial targets (FT) and CEO duality (CEOD) show significant values with negative relationship. This implies that on the context of BUMN, the five components of fraud pentagon theory do not play important roles in triggering fraudulent financial statements.Originality/Value:This paper stands out for being one of the few studies analyzing the arrogance component of fraud Pentagon theory using CEO duality. Most of previous studies on Pentagon fraud utilize CEO photographs to represent arrogance and result in inconsistent findings. Thus this paper extends current studies on the importance of using CEO duality as a proxy of arrogance.","author":[{"dropping-particle":"","family":"Inayah","given":"Jannah Zahra","non-dropping-particle":"","parse-names":false,"suffix":""},{"dropping-particle":"","family":"Chariri","given":"Anis","non-dropping-particle":"","parse-names":false,"suffix":""}],"container-title":"Jurnal Akuntansi Aktual","id":"ITEM-1","issued":{"date-parts":[["2024","2","29"]]},"page":"19","publisher":"State University of Malang (UM)","title":"The Determinants of Financial Statement Fraud: Fraud Pentagon Perspective","type":"article-journal"},"uris":["http://www.mendeley.com/documents/?uuid=6160550e-7310-3306-a2d4-5108b58c4af1"]}],"mendeley":{"formattedCitation":"(Inayah &amp; Chariri, 2024)","plainTextFormattedCitation":"(Inayah &amp; Chariri, 2024)","previouslyFormattedCitation":"(Inayah &amp; Chariri, 2024)"},"properties":{"noteIndex":0},"schema":"https://github.com/citation-style-language/schema/raw/master/csl-citation.json"}</w:instrText>
      </w:r>
      <w:r w:rsidRPr="0005135E">
        <w:rPr>
          <w:rFonts w:ascii="Times New Roman" w:eastAsia="Times New Roman" w:hAnsi="Times New Roman"/>
          <w:sz w:val="24"/>
          <w:szCs w:val="24"/>
        </w:rPr>
        <w:fldChar w:fldCharType="separate"/>
      </w:r>
      <w:r w:rsidRPr="0005135E">
        <w:rPr>
          <w:rFonts w:ascii="Times New Roman" w:eastAsia="Times New Roman" w:hAnsi="Times New Roman"/>
          <w:noProof/>
          <w:sz w:val="24"/>
          <w:szCs w:val="24"/>
        </w:rPr>
        <w:t>(Inayah &amp; Chariri, 2024)</w:t>
      </w:r>
      <w:r w:rsidRPr="0005135E">
        <w:rPr>
          <w:rFonts w:ascii="Times New Roman" w:eastAsia="Times New Roman" w:hAnsi="Times New Roman"/>
          <w:sz w:val="24"/>
          <w:szCs w:val="24"/>
        </w:rPr>
        <w:fldChar w:fldCharType="end"/>
      </w:r>
      <w:r w:rsidRPr="0005135E">
        <w:rPr>
          <w:rFonts w:ascii="Times New Roman" w:eastAsia="Times New Roman" w:hAnsi="Times New Roman"/>
          <w:sz w:val="24"/>
          <w:szCs w:val="24"/>
        </w:rPr>
        <w:t xml:space="preserve">, to positive effects on manipulation tendencies </w:t>
      </w:r>
      <w:r w:rsidRPr="0005135E">
        <w:rPr>
          <w:rFonts w:ascii="Times New Roman" w:eastAsia="Times New Roman" w:hAnsi="Times New Roman"/>
          <w:sz w:val="24"/>
          <w:szCs w:val="24"/>
        </w:rPr>
        <w:fldChar w:fldCharType="begin" w:fldLock="1"/>
      </w:r>
      <w:r w:rsidRPr="0005135E">
        <w:rPr>
          <w:rFonts w:ascii="Times New Roman" w:eastAsia="Times New Roman" w:hAnsi="Times New Roman"/>
          <w:sz w:val="24"/>
          <w:szCs w:val="24"/>
        </w:rPr>
        <w:instrText>ADDIN CSL_CITATION {"citationItems":[{"id":"ITEM-1","itemData":{"DOI":"10.26740/jaj.v13n1.p119-131","ISSN":"2085-9643","abstract":"This study emphasizes on examining the fraud hexagon theory referring to signs of fraud of financial statements, which employs all manufacturing companies listed in the IDX (Indonesia Stock Exchange). However, total selected sample are 153 of the manufacturing industry. The companies are categorized into indicated and not indicated committing fraud in the 2010-2018 period by applying the Beneish M-Score. The findings demonstrated that financial stability, the financial targets, the external pressures, the nature of industry, and CEO duality can be applied to predict fraud of financial statements. Meanwhile, personal financial needs, ineffective monitoring, quality of external auditors, auditor turnover, director turnover, and marginal costs cannot indicate occurrence of the fraud of financial statement. The findings conclude that pressure, ego, and opportunity significantly affect the financial statement fraud. Future research are suggested to consider different proxies for fraudulent financial statements; hence, the accuracy of the proxies can be compared with this study. Moreover, adding other proxies of conspiracy such as bonuses received by managers will be beneficial.","author":[{"dropping-particle":"","family":"Tarjo","given":"Tarjo","non-dropping-particle":"","parse-names":false,"suffix":""},{"dropping-particle":"","family":"Anggono","given":"Alexander","non-dropping-particle":"","parse-names":false,"suffix":""},{"dropping-particle":"","family":"Sakti","given":"Eklamsia","non-dropping-particle":"","parse-names":false,"suffix":""}],"container-title":"AKRUAL: Jurnal Akuntansi","id":"ITEM-1","issue":"1","issued":{"date-parts":[["2021","11","1"]]},"page":"119-131","publisher":"Universitas Negeri Surabaya","title":"Detecting Indications of Financial Statement Fraud: a Hexagon Fraud Theory Approach","type":"article-journal","volume":"13"},"uris":["http://www.mendeley.com/documents/?uuid=bda27ccf-6672-3b3e-9c26-82e53093980b"]}],"mendeley":{"formattedCitation":"(Tarjo et al., 2021)","plainTextFormattedCitation":"(Tarjo et al., 2021)","previouslyFormattedCitation":"(Tarjo et al., 2021)"},"properties":{"noteIndex":0},"schema":"https://github.com/citation-style-language/schema/raw/master/csl-citation.json"}</w:instrText>
      </w:r>
      <w:r w:rsidRPr="0005135E">
        <w:rPr>
          <w:rFonts w:ascii="Times New Roman" w:eastAsia="Times New Roman" w:hAnsi="Times New Roman"/>
          <w:sz w:val="24"/>
          <w:szCs w:val="24"/>
        </w:rPr>
        <w:fldChar w:fldCharType="separate"/>
      </w:r>
      <w:r w:rsidRPr="0005135E">
        <w:rPr>
          <w:rFonts w:ascii="Times New Roman" w:eastAsia="Times New Roman" w:hAnsi="Times New Roman"/>
          <w:noProof/>
          <w:sz w:val="24"/>
          <w:szCs w:val="24"/>
        </w:rPr>
        <w:t>(Tarjo et al., 2021)</w:t>
      </w:r>
      <w:r w:rsidRPr="0005135E">
        <w:rPr>
          <w:rFonts w:ascii="Times New Roman" w:eastAsia="Times New Roman" w:hAnsi="Times New Roman"/>
          <w:sz w:val="24"/>
          <w:szCs w:val="24"/>
        </w:rPr>
        <w:fldChar w:fldCharType="end"/>
      </w:r>
      <w:r w:rsidRPr="0005135E">
        <w:rPr>
          <w:rFonts w:ascii="Times New Roman" w:eastAsia="Times New Roman" w:hAnsi="Times New Roman"/>
          <w:sz w:val="24"/>
          <w:szCs w:val="24"/>
        </w:rPr>
        <w:t xml:space="preserve">, indicating an unresolved gap regarding the extent to which concentration of leadership authority affects reporting integrity. Similar inconsistencies have appeared in research on audit tenure, where some evidence has suggested no influence on reporting integrity </w:t>
      </w:r>
      <w:r w:rsidRPr="0005135E">
        <w:rPr>
          <w:rFonts w:ascii="Times New Roman" w:eastAsia="Times New Roman" w:hAnsi="Times New Roman"/>
          <w:sz w:val="24"/>
          <w:szCs w:val="24"/>
        </w:rPr>
        <w:fldChar w:fldCharType="begin" w:fldLock="1"/>
      </w:r>
      <w:r w:rsidRPr="0005135E">
        <w:rPr>
          <w:rFonts w:ascii="Times New Roman" w:eastAsia="Times New Roman" w:hAnsi="Times New Roman"/>
          <w:sz w:val="24"/>
          <w:szCs w:val="24"/>
        </w:rPr>
        <w:instrText>ADDIN CSL_CITATION {"citationItems":[{"id":"ITEM-1","itemData":{"DOI":"10.37641/jimkes.v11i2.1746","ISSN":"2337-7860","abstract":"Financial reports are a means for shareholders, creditors, goverments agencies and other parties to find out the condition and performance of the company.Thus the integrity of financial reports become very important in making decisions for the parties as mentioned above.\r The porpose of this study was to determine the effect of intellect capital, leverage, audit tenure and profitability on the integrity of the financial statements of companies  listed in the food and beverage sector on the Indonesia Stock Exchange for the period 2017-2021. This study uses a quantitative method. The data source  used  comes from the website www.idx.co.id. The data analysis technique used is multiple linier regression analysis using SPSS 22. \r The results of this study indicate that intellectual capital  and returned on assets have significant and positive effect. Leverave and audit tenure has no significant effect to integrity of financial statement  of the companies listed in the food and beverage sector  in Indonesia Stck Exchange   Year 2017-2021","author":[{"dropping-particle":"","family":"Purba","given":"Jamian","non-dropping-particle":"","parse-names":false,"suffix":""},{"dropping-particle":"","family":"Fuadi","given":"Agus","non-dropping-particle":"","parse-names":false,"suffix":""}],"container-title":"Jurnal Ilmiah Manajemen Kesatuan","id":"ITEM-1","issue":"2","issued":{"date-parts":[["2023","8","1"]]},"page":"257-266","publisher":"Institut Bisnis dan Informatika Kesatuan","title":"Pengaruh Intellectual Capital, Leverage, Audit Tenure dan Profitabilitas Terhadap Integritas Laporan Keuangan","type":"article-journal","volume":"11"},"uris":["http://www.mendeley.com/documents/?uuid=f04e0fff-6d75-31cf-8bf4-886f37a651c4"]}],"mendeley":{"formattedCitation":"(Purba &amp; Fuadi, 2023)","plainTextFormattedCitation":"(Purba &amp; Fuadi, 2023)","previouslyFormattedCitation":"(Purba &amp; Fuadi, 2023)"},"properties":{"noteIndex":0},"schema":"https://github.com/citation-style-language/schema/raw/master/csl-citation.json"}</w:instrText>
      </w:r>
      <w:r w:rsidRPr="0005135E">
        <w:rPr>
          <w:rFonts w:ascii="Times New Roman" w:eastAsia="Times New Roman" w:hAnsi="Times New Roman"/>
          <w:sz w:val="24"/>
          <w:szCs w:val="24"/>
        </w:rPr>
        <w:fldChar w:fldCharType="separate"/>
      </w:r>
      <w:r w:rsidRPr="0005135E">
        <w:rPr>
          <w:rFonts w:ascii="Times New Roman" w:eastAsia="Times New Roman" w:hAnsi="Times New Roman"/>
          <w:noProof/>
          <w:sz w:val="24"/>
          <w:szCs w:val="24"/>
        </w:rPr>
        <w:t>(Purba &amp; Fuadi, 2023)</w:t>
      </w:r>
      <w:r w:rsidRPr="0005135E">
        <w:rPr>
          <w:rFonts w:ascii="Times New Roman" w:eastAsia="Times New Roman" w:hAnsi="Times New Roman"/>
          <w:sz w:val="24"/>
          <w:szCs w:val="24"/>
        </w:rPr>
        <w:fldChar w:fldCharType="end"/>
      </w:r>
      <w:r w:rsidRPr="0005135E">
        <w:rPr>
          <w:rFonts w:ascii="Times New Roman" w:eastAsia="Times New Roman" w:hAnsi="Times New Roman"/>
          <w:sz w:val="24"/>
          <w:szCs w:val="24"/>
        </w:rPr>
        <w:t xml:space="preserve">, while other findings indicated either positive </w:t>
      </w:r>
      <w:r w:rsidRPr="0005135E">
        <w:rPr>
          <w:rFonts w:ascii="Times New Roman" w:eastAsia="Times New Roman" w:hAnsi="Times New Roman"/>
          <w:sz w:val="24"/>
          <w:szCs w:val="24"/>
        </w:rPr>
        <w:fldChar w:fldCharType="begin" w:fldLock="1"/>
      </w:r>
      <w:r w:rsidRPr="0005135E">
        <w:rPr>
          <w:rFonts w:ascii="Times New Roman" w:eastAsia="Times New Roman" w:hAnsi="Times New Roman"/>
          <w:sz w:val="24"/>
          <w:szCs w:val="24"/>
        </w:rPr>
        <w:instrText>ADDIN CSL_CITATION {"citationItems":[{"id":"ITEM-1","itemData":{"ISSN":"2828-5298","author":[{"dropping-particle":"","family":"Nurhasanah","given":"Ririn","non-dropping-particle":"","parse-names":false,"suffix":""},{"dropping-particle":"","family":"Nuridah","given":"Siti","non-dropping-particle":"","parse-names":false,"suffix":""},{"dropping-particle":"","family":"Puspita Audina","given":"Bella","non-dropping-particle":"","parse-names":false,"suffix":""},{"dropping-particle":"","family":"Martha Kusuma","given":"Pungki","non-dropping-particle":"","parse-names":false,"suffix":""},{"dropping-particle":"","family":"Setyawati Melati Putri","given":"Emy","non-dropping-particle":"","parse-names":false,"suffix":""}],"container-title":"EKOMA : Jurnal Ekonomi","id":"ITEM-1","issue":"1","issued":{"date-parts":[["2024"]]},"title":"Pengaruh Audit Tenure Terhadap Integritas Laporan Keuangan","type":"article-journal","volume":"4"},"uris":["http://www.mendeley.com/documents/?uuid=9de75c47-b9d8-31c7-96a3-6a5609918558"]}],"mendeley":{"formattedCitation":"(Nurhasanah et al., 2024)","plainTextFormattedCitation":"(Nurhasanah et al., 2024)","previouslyFormattedCitation":"(Nurhasanah et al., 2024)"},"properties":{"noteIndex":0},"schema":"https://github.com/citation-style-language/schema/raw/master/csl-citation.json"}</w:instrText>
      </w:r>
      <w:r w:rsidRPr="0005135E">
        <w:rPr>
          <w:rFonts w:ascii="Times New Roman" w:eastAsia="Times New Roman" w:hAnsi="Times New Roman"/>
          <w:sz w:val="24"/>
          <w:szCs w:val="24"/>
        </w:rPr>
        <w:fldChar w:fldCharType="separate"/>
      </w:r>
      <w:r w:rsidRPr="0005135E">
        <w:rPr>
          <w:rFonts w:ascii="Times New Roman" w:eastAsia="Times New Roman" w:hAnsi="Times New Roman"/>
          <w:noProof/>
          <w:sz w:val="24"/>
          <w:szCs w:val="24"/>
        </w:rPr>
        <w:t>(Nurhasanah et al., 2024)</w:t>
      </w:r>
      <w:r w:rsidRPr="0005135E">
        <w:rPr>
          <w:rFonts w:ascii="Times New Roman" w:eastAsia="Times New Roman" w:hAnsi="Times New Roman"/>
          <w:sz w:val="24"/>
          <w:szCs w:val="24"/>
        </w:rPr>
        <w:fldChar w:fldCharType="end"/>
      </w:r>
      <w:r w:rsidRPr="0005135E">
        <w:rPr>
          <w:rFonts w:ascii="Times New Roman" w:eastAsia="Times New Roman" w:hAnsi="Times New Roman"/>
          <w:sz w:val="24"/>
          <w:szCs w:val="24"/>
        </w:rPr>
        <w:t xml:space="preserve"> or negative effects </w:t>
      </w:r>
      <w:r w:rsidRPr="0005135E">
        <w:rPr>
          <w:rFonts w:ascii="Times New Roman" w:eastAsia="Times New Roman" w:hAnsi="Times New Roman"/>
          <w:sz w:val="24"/>
          <w:szCs w:val="24"/>
        </w:rPr>
        <w:fldChar w:fldCharType="begin" w:fldLock="1"/>
      </w:r>
      <w:r w:rsidRPr="0005135E">
        <w:rPr>
          <w:rFonts w:ascii="Times New Roman" w:eastAsia="Times New Roman" w:hAnsi="Times New Roman"/>
          <w:sz w:val="24"/>
          <w:szCs w:val="24"/>
        </w:rPr>
        <w:instrText>ADDIN CSL_CITATION {"citationItems":[{"id":"ITEM-1","itemData":{"abstract":"Financial reports are used by entities to convey financial conditions tostakeholders. Financial reports are expected to have integrity, which means that they have truthful and reliable information.This study aims to analyze the effect of corporate governance mechanisms, leverage, audit tenure and audit quality on the integrity of financial statements in financial sector companies listed on the Indonesia Stock Exchange.The sample was selected using a purposive sampling method. The data analysis technique used is multiple linear regression. The results showed that institutional ownership, managerial ownership, independent commissioners, and audit committee had no effect on the integrity of financial statements. Leverage and audit tenure were found to have a negative effect, and audit quality has a positive effect on the integrity of financial statements.Therefore, companies are expected to pay attention to the level of leverage ratios and audit services, thus the level of integrity of financial statements can always be improved.","author":[{"dropping-particle":"","family":"Ayu Ratih Manuari","given":"Ida","non-dropping-particle":"","parse-names":false,"suffix":""},{"dropping-particle":"","family":"Luh Nyoman Sherina Devi","given":"Ni","non-dropping-particle":"","parse-names":false,"suffix":""},{"dropping-particle":"","family":"Studi Akuntansi","given":"Program","non-dropping-particle":"","parse-names":false,"suffix":""},{"dropping-particle":"","family":"Ekonomi dan Bisnis","given":"Fakultas","non-dropping-particle":"","parse-names":false,"suffix":""},{"dropping-particle":"","family":"Mahasaraswati Denpasar","given":"Universitas","non-dropping-particle":"","parse-names":false,"suffix":""}],"container-title":"Journal of Applied Management and Accounting Science (JAMAS)","id":"ITEM-1","issue":"2","issued":{"date-parts":[["2021"]]},"number-of-pages":"116-131","title":"IMPLIKASI MEKANISMECORPORATE GOVERNANCE, LEVERAGE, AUDIT TENURE DAN KUALITAS AUDIT TERHADAP INTEGRITAS LAPORAN KEUANGAN","type":"report","volume":"2"},"uris":["http://www.mendeley.com/documents/?uuid=5a4aa865-4313-3b3a-8806-dd8bf3354e15"]}],"mendeley":{"formattedCitation":"(Ayu Ratih Manuari et al., 2021)","plainTextFormattedCitation":"(Ayu Ratih Manuari et al., 2021)","previouslyFormattedCitation":"(Ayu Ratih Manuari et al., 2021)"},"properties":{"noteIndex":0},"schema":"https://github.com/citation-style-language/schema/raw/master/csl-citation.json"}</w:instrText>
      </w:r>
      <w:r w:rsidRPr="0005135E">
        <w:rPr>
          <w:rFonts w:ascii="Times New Roman" w:eastAsia="Times New Roman" w:hAnsi="Times New Roman"/>
          <w:sz w:val="24"/>
          <w:szCs w:val="24"/>
        </w:rPr>
        <w:fldChar w:fldCharType="separate"/>
      </w:r>
      <w:r w:rsidRPr="0005135E">
        <w:rPr>
          <w:rFonts w:ascii="Times New Roman" w:eastAsia="Times New Roman" w:hAnsi="Times New Roman"/>
          <w:noProof/>
          <w:sz w:val="24"/>
          <w:szCs w:val="24"/>
        </w:rPr>
        <w:t>(Ayu Ratih Manuari et al., 2021)</w:t>
      </w:r>
      <w:r w:rsidRPr="0005135E">
        <w:rPr>
          <w:rFonts w:ascii="Times New Roman" w:eastAsia="Times New Roman" w:hAnsi="Times New Roman"/>
          <w:sz w:val="24"/>
          <w:szCs w:val="24"/>
        </w:rPr>
        <w:fldChar w:fldCharType="end"/>
      </w:r>
      <w:r w:rsidRPr="0005135E">
        <w:rPr>
          <w:rFonts w:ascii="Times New Roman" w:eastAsia="Times New Roman" w:hAnsi="Times New Roman"/>
          <w:sz w:val="24"/>
          <w:szCs w:val="24"/>
        </w:rPr>
        <w:t xml:space="preserve">. The influence of firm complexity has also lacked uniform conclusions; although complexity has been associated with increased audit prudence and audit quality </w:t>
      </w:r>
      <w:r w:rsidRPr="0005135E">
        <w:rPr>
          <w:rFonts w:ascii="Times New Roman" w:eastAsia="Times New Roman" w:hAnsi="Times New Roman"/>
          <w:sz w:val="24"/>
          <w:szCs w:val="24"/>
        </w:rPr>
        <w:fldChar w:fldCharType="begin" w:fldLock="1"/>
      </w:r>
      <w:r w:rsidRPr="0005135E">
        <w:rPr>
          <w:rFonts w:ascii="Times New Roman" w:eastAsia="Times New Roman" w:hAnsi="Times New Roman"/>
          <w:sz w:val="24"/>
          <w:szCs w:val="24"/>
        </w:rPr>
        <w:instrText>ADDIN CSL_CITATION {"citationItems":[{"id":"ITEM-1","itemData":{"DOI":"10.54066/jrea-itb.v3i1.3072","ISSN":"2985-6264","abstract":"This study aims to examine the influence of Operational Complexity, Company Size, and Audit Committee on Audit Quality with Audit Delay as a moderating variable. The population in this research consists of all banking companies listed on the Indonesia Stock Exchange during the 2019–2023 period. The sampling technique used was the purposive sampling method and obtained 47 company samples. The analysis methods used were Descriptive Statistical Analysis, Logistic Regression Analysis, Hypothesis Testing and Moderation Regression Analysis. The results of this study indicate that partially Complexity Operational and Audit Committe has a positive effect on Audit Quality and the variables Company Size do not affect Audit Quality. The results of the study for the moderating variable, namely Audit Delay, are able to moderate (weaken) the positive effect of Audit Committe on Audit Quality and Audit Delay is unable to moderate Complexity Operational and Company Size.","author":[{"dropping-particle":"","family":"Febria Amanda","given":"","non-dropping-particle":"","parse-names":false,"suffix":""},{"dropping-particle":"","family":"David Pangaribuan","given":"","non-dropping-particle":"","parse-names":false,"suffix":""},{"dropping-particle":"","family":"Panata Bangar Hasioan Sianipar","given":"","non-dropping-particle":"","parse-names":false,"suffix":""}],"container-title":"Jurnal Riset Ekonomi dan Akuntansi","id":"ITEM-1","issue":"1","issued":{"date-parts":[["2025","2","14"]]},"page":"283-301","publisher":"Institut Teknologi dan Bisnis Semarang","title":"Pengaruh Kompleksitas Operasi, Ukuran Perusahaan dan Komite Audit terhadap Kualitas Audit dengan Audit Delay sebagai Moderasi","type":"article-journal","volume":"3"},"uris":["http://www.mendeley.com/documents/?uuid=7a22a1fd-fad5-3a99-a4c0-79b4f5ee4a8e"]}],"mendeley":{"formattedCitation":"(Febria Amanda et al., 2025)","plainTextFormattedCitation":"(Febria Amanda et al., 2025)","previouslyFormattedCitation":"(Febria Amanda et al., 2025)"},"properties":{"noteIndex":0},"schema":"https://github.com/citation-style-language/schema/raw/master/csl-citation.json"}</w:instrText>
      </w:r>
      <w:r w:rsidRPr="0005135E">
        <w:rPr>
          <w:rFonts w:ascii="Times New Roman" w:eastAsia="Times New Roman" w:hAnsi="Times New Roman"/>
          <w:sz w:val="24"/>
          <w:szCs w:val="24"/>
        </w:rPr>
        <w:fldChar w:fldCharType="separate"/>
      </w:r>
      <w:r w:rsidRPr="0005135E">
        <w:rPr>
          <w:rFonts w:ascii="Times New Roman" w:eastAsia="Times New Roman" w:hAnsi="Times New Roman"/>
          <w:noProof/>
          <w:sz w:val="24"/>
          <w:szCs w:val="24"/>
        </w:rPr>
        <w:t>(Febria Amanda et al., 2025)</w:t>
      </w:r>
      <w:r w:rsidRPr="0005135E">
        <w:rPr>
          <w:rFonts w:ascii="Times New Roman" w:eastAsia="Times New Roman" w:hAnsi="Times New Roman"/>
          <w:sz w:val="24"/>
          <w:szCs w:val="24"/>
        </w:rPr>
        <w:fldChar w:fldCharType="end"/>
      </w:r>
      <w:r w:rsidRPr="0005135E">
        <w:rPr>
          <w:rFonts w:ascii="Times New Roman" w:eastAsia="Times New Roman" w:hAnsi="Times New Roman"/>
          <w:sz w:val="24"/>
          <w:szCs w:val="24"/>
        </w:rPr>
        <w:t xml:space="preserve">, other studies reported insignificant effects </w:t>
      </w:r>
      <w:r w:rsidRPr="0005135E">
        <w:rPr>
          <w:rFonts w:ascii="Times New Roman" w:eastAsia="Times New Roman" w:hAnsi="Times New Roman"/>
          <w:sz w:val="24"/>
          <w:szCs w:val="24"/>
        </w:rPr>
        <w:fldChar w:fldCharType="begin" w:fldLock="1"/>
      </w:r>
      <w:r w:rsidRPr="0005135E">
        <w:rPr>
          <w:rFonts w:ascii="Times New Roman" w:eastAsia="Times New Roman" w:hAnsi="Times New Roman"/>
          <w:sz w:val="24"/>
          <w:szCs w:val="24"/>
        </w:rPr>
        <w:instrText>ADDIN CSL_CITATION {"citationItems":[{"id":"ITEM-1","itemData":{"author":[{"dropping-particle":"","family":"Qintharah","given":"Yuha Nadhirah","non-dropping-particle":"","parse-names":false,"suffix":""}],"container-title":"Jurnal Ekonomi KIAT","id":"ITEM-1","issued":{"date-parts":[["2020"]]},"title":"Pengaruh Rotasi Audit, Kompleksitas Perusahaan dan Fee Audit terhadap Kualitas Audit Perusahaan Manufaktur Di Bursa Efek Indonesia","type":"article-journal"},"uris":["http://www.mendeley.com/documents/?uuid=dd157f43-74e2-3c91-b48b-046291c99857"]}],"mendeley":{"formattedCitation":"(Qintharah, 2020)","plainTextFormattedCitation":"(Qintharah, 2020)","previouslyFormattedCitation":"(Qintharah, 2020)"},"properties":{"noteIndex":0},"schema":"https://github.com/citation-style-language/schema/raw/master/csl-citation.json"}</w:instrText>
      </w:r>
      <w:r w:rsidRPr="0005135E">
        <w:rPr>
          <w:rFonts w:ascii="Times New Roman" w:eastAsia="Times New Roman" w:hAnsi="Times New Roman"/>
          <w:sz w:val="24"/>
          <w:szCs w:val="24"/>
        </w:rPr>
        <w:fldChar w:fldCharType="separate"/>
      </w:r>
      <w:r w:rsidRPr="0005135E">
        <w:rPr>
          <w:rFonts w:ascii="Times New Roman" w:eastAsia="Times New Roman" w:hAnsi="Times New Roman"/>
          <w:noProof/>
          <w:sz w:val="24"/>
          <w:szCs w:val="24"/>
        </w:rPr>
        <w:t>(Qintharah, 2020)</w:t>
      </w:r>
      <w:r w:rsidRPr="0005135E">
        <w:rPr>
          <w:rFonts w:ascii="Times New Roman" w:eastAsia="Times New Roman" w:hAnsi="Times New Roman"/>
          <w:sz w:val="24"/>
          <w:szCs w:val="24"/>
        </w:rPr>
        <w:fldChar w:fldCharType="end"/>
      </w:r>
      <w:r w:rsidRPr="0005135E">
        <w:rPr>
          <w:rFonts w:ascii="Times New Roman" w:eastAsia="Times New Roman" w:hAnsi="Times New Roman"/>
          <w:sz w:val="24"/>
          <w:szCs w:val="24"/>
        </w:rPr>
        <w:t>. Furthermore, examinations of firm complexity specifically within the property and real estate sector have been limited, forming a relevant gap that requires further clarification.</w:t>
      </w:r>
    </w:p>
    <w:p w:rsidR="00457B9A" w:rsidRPr="0005135E" w:rsidRDefault="00457B9A" w:rsidP="00457B9A">
      <w:pPr>
        <w:ind w:firstLine="284"/>
        <w:jc w:val="both"/>
        <w:rPr>
          <w:rFonts w:ascii="Times New Roman" w:eastAsia="Times New Roman" w:hAnsi="Times New Roman"/>
          <w:sz w:val="24"/>
          <w:szCs w:val="24"/>
        </w:rPr>
      </w:pPr>
      <w:r w:rsidRPr="0005135E">
        <w:rPr>
          <w:rFonts w:ascii="Times New Roman" w:eastAsia="Times New Roman" w:hAnsi="Times New Roman"/>
          <w:sz w:val="24"/>
          <w:szCs w:val="24"/>
        </w:rPr>
        <w:t xml:space="preserve">To extend the scope of governance related research, firm risk has been incorporated as a moderating variable. Firm risk has been conceptualized as an indicator of financial pressure that may increase incentives for earnings management or manipulation </w:t>
      </w:r>
      <w:r w:rsidRPr="0005135E">
        <w:rPr>
          <w:rFonts w:ascii="Times New Roman" w:eastAsia="Times New Roman" w:hAnsi="Times New Roman"/>
          <w:sz w:val="24"/>
          <w:szCs w:val="24"/>
        </w:rPr>
        <w:fldChar w:fldCharType="begin" w:fldLock="1"/>
      </w:r>
      <w:r w:rsidRPr="0005135E">
        <w:rPr>
          <w:rFonts w:ascii="Times New Roman" w:eastAsia="Times New Roman" w:hAnsi="Times New Roman"/>
          <w:sz w:val="24"/>
          <w:szCs w:val="24"/>
        </w:rPr>
        <w:instrText>ADDIN CSL_CITATION {"citationItems":[{"id":"ITEM-1","itemData":{"author":[{"dropping-particle":"","family":"Rahayu","given":"Isna Yuni","non-dropping-particle":"","parse-names":false,"suffix":""},{"dropping-particle":"","family":"Susilowati","given":"Endah","non-dropping-particle":"","parse-names":false,"suffix":""}],"container-title":"Jambura Economic Education Journal","id":"ITEM-1","issued":{"date-parts":[["2025"]]},"title":"Presepsi Teori Fraud Hexagon Terhadap Fraudulent Financial Statement","type":"article-journal"},"uris":["http://www.mendeley.com/documents/?uuid=2e4b52e4-d8b1-319d-892d-84518939cce8"]}],"mendeley":{"formattedCitation":"(Rahayu &amp; Susilowati, 2025)","plainTextFormattedCitation":"(Rahayu &amp; Susilowati, 2025)","previouslyFormattedCitation":"(Rahayu &amp; Susilowati, 2025)"},"properties":{"noteIndex":0},"schema":"https://github.com/citation-style-language/schema/raw/master/csl-citation.json"}</w:instrText>
      </w:r>
      <w:r w:rsidRPr="0005135E">
        <w:rPr>
          <w:rFonts w:ascii="Times New Roman" w:eastAsia="Times New Roman" w:hAnsi="Times New Roman"/>
          <w:sz w:val="24"/>
          <w:szCs w:val="24"/>
        </w:rPr>
        <w:fldChar w:fldCharType="separate"/>
      </w:r>
      <w:r w:rsidRPr="0005135E">
        <w:rPr>
          <w:rFonts w:ascii="Times New Roman" w:eastAsia="Times New Roman" w:hAnsi="Times New Roman"/>
          <w:noProof/>
          <w:sz w:val="24"/>
          <w:szCs w:val="24"/>
        </w:rPr>
        <w:t>(Rahayu &amp; Susilowati, 2025)</w:t>
      </w:r>
      <w:r w:rsidRPr="0005135E">
        <w:rPr>
          <w:rFonts w:ascii="Times New Roman" w:eastAsia="Times New Roman" w:hAnsi="Times New Roman"/>
          <w:sz w:val="24"/>
          <w:szCs w:val="24"/>
        </w:rPr>
        <w:fldChar w:fldCharType="end"/>
      </w:r>
      <w:r w:rsidRPr="0005135E">
        <w:rPr>
          <w:rFonts w:ascii="Times New Roman" w:eastAsia="Times New Roman" w:hAnsi="Times New Roman"/>
          <w:sz w:val="24"/>
          <w:szCs w:val="24"/>
        </w:rPr>
        <w:t xml:space="preserve">. Existing studies predominantly position firm risk as an independent variable </w:t>
      </w:r>
      <w:r w:rsidRPr="0005135E">
        <w:rPr>
          <w:rFonts w:ascii="Times New Roman" w:eastAsia="Times New Roman" w:hAnsi="Times New Roman"/>
          <w:sz w:val="24"/>
          <w:szCs w:val="24"/>
        </w:rPr>
        <w:fldChar w:fldCharType="begin" w:fldLock="1"/>
      </w:r>
      <w:r w:rsidRPr="0005135E">
        <w:rPr>
          <w:rFonts w:ascii="Times New Roman" w:eastAsia="Times New Roman" w:hAnsi="Times New Roman"/>
          <w:sz w:val="24"/>
          <w:szCs w:val="24"/>
        </w:rPr>
        <w:instrText>ADDIN CSL_CITATION {"citationItems":[{"id":"ITEM-1","itemData":{"DOI":"10.37641/jimkes.v11i2.1746","ISSN":"2337-7860","abstract":"Financial reports are a means for shareholders, creditors, goverments agencies and other parties to find out the condition and performance of the company.Thus the integrity of financial reports become very important in making decisions for the parties as mentioned above.\r The porpose of this study was to determine the effect of intellect capital, leverage, audit tenure and profitability on the integrity of the financial statements of companies  listed in the food and beverage sector on the Indonesia Stock Exchange for the period 2017-2021. This study uses a quantitative method. The data source  used  comes from the website www.idx.co.id. The data analysis technique used is multiple linier regression analysis using SPSS 22. \r The results of this study indicate that intellectual capital  and returned on assets have significant and positive effect. Leverave and audit tenure has no significant effect to integrity of financial statement  of the companies listed in the food and beverage sector  in Indonesia Stck Exchange   Year 2017-2021","author":[{"dropping-particle":"","family":"Purba","given":"Jamian","non-dropping-particle":"","parse-names":false,"suffix":""},{"dropping-particle":"","family":"Fuadi","given":"Agus","non-dropping-particle":"","parse-names":false,"suffix":""}],"container-title":"Jurnal Ilmiah Manajemen Kesatuan","id":"ITEM-1","issue":"2","issued":{"date-parts":[["2023","8","1"]]},"page":"257-266","publisher":"Institut Bisnis dan Informatika Kesatuan","title":"Pengaruh Intellectual Capital, Leverage, Audit Tenure dan Profitabilitas Terhadap Integritas Laporan Keuangan","type":"article-journal","volume":"11"},"uris":["http://www.mendeley.com/documents/?uuid=f04e0fff-6d75-31cf-8bf4-886f37a651c4"]}],"mendeley":{"formattedCitation":"(Purba &amp; Fuadi, 2023)","plainTextFormattedCitation":"(Purba &amp; Fuadi, 2023)","previouslyFormattedCitation":"(Purba &amp; Fuadi, 2023)"},"properties":{"noteIndex":0},"schema":"https://github.com/citation-style-language/schema/raw/master/csl-citation.json"}</w:instrText>
      </w:r>
      <w:r w:rsidRPr="0005135E">
        <w:rPr>
          <w:rFonts w:ascii="Times New Roman" w:eastAsia="Times New Roman" w:hAnsi="Times New Roman"/>
          <w:sz w:val="24"/>
          <w:szCs w:val="24"/>
        </w:rPr>
        <w:fldChar w:fldCharType="separate"/>
      </w:r>
      <w:r w:rsidRPr="0005135E">
        <w:rPr>
          <w:rFonts w:ascii="Times New Roman" w:eastAsia="Times New Roman" w:hAnsi="Times New Roman"/>
          <w:noProof/>
          <w:sz w:val="24"/>
          <w:szCs w:val="24"/>
        </w:rPr>
        <w:t>(Purba &amp; Fuadi, 2023)</w:t>
      </w:r>
      <w:r w:rsidRPr="0005135E">
        <w:rPr>
          <w:rFonts w:ascii="Times New Roman" w:eastAsia="Times New Roman" w:hAnsi="Times New Roman"/>
          <w:sz w:val="24"/>
          <w:szCs w:val="24"/>
        </w:rPr>
        <w:fldChar w:fldCharType="end"/>
      </w:r>
      <w:r w:rsidRPr="0005135E">
        <w:rPr>
          <w:rFonts w:ascii="Times New Roman" w:eastAsia="Times New Roman" w:hAnsi="Times New Roman"/>
          <w:sz w:val="24"/>
          <w:szCs w:val="24"/>
        </w:rPr>
        <w:t>. Its moderating role in strengthening or weakening relationships between governance attributes and financial reporting integrity has not undergone thorough investigation. The integration of firm risk as a moderating factor thus provides theoretical advancement by offering a more comprehensive understanding of governance mechanism interactions with financial reporting quality.</w:t>
      </w:r>
    </w:p>
    <w:p w:rsidR="00457B9A" w:rsidRPr="0005135E" w:rsidRDefault="00457B9A" w:rsidP="00457B9A">
      <w:pPr>
        <w:ind w:firstLine="284"/>
        <w:jc w:val="both"/>
        <w:rPr>
          <w:rFonts w:ascii="Times New Roman" w:eastAsia="Times New Roman" w:hAnsi="Times New Roman"/>
          <w:sz w:val="24"/>
          <w:szCs w:val="24"/>
        </w:rPr>
      </w:pPr>
      <w:r w:rsidRPr="0005135E">
        <w:rPr>
          <w:rFonts w:ascii="Times New Roman" w:eastAsia="Times New Roman" w:hAnsi="Times New Roman"/>
          <w:sz w:val="24"/>
          <w:szCs w:val="24"/>
        </w:rPr>
        <w:t xml:space="preserve">The theoretical framework, empirical inconsistencies, and practical issues within the property and real estate sector form this research's basis. This research analyzes CEO duality, audit tenure, and firm complexity effects on financial statement integrity. Firm risk acts as a moderating variable. The sample includes companies listed on the Indonesia Stock Exchange from 2020 to 2024. Two elements provide this study's novelty. First, the exploration of firm risk as a moderating factor. Second, the examination of firm complexity within a sector with unique operational structures and long-term project </w:t>
      </w:r>
      <w:r w:rsidRPr="0005135E">
        <w:rPr>
          <w:rFonts w:ascii="Times New Roman" w:eastAsia="Times New Roman" w:hAnsi="Times New Roman"/>
          <w:sz w:val="24"/>
          <w:szCs w:val="24"/>
        </w:rPr>
        <w:lastRenderedPageBreak/>
        <w:t>uncertainties. This study contributes both to academic literature and practical governance improvements.</w:t>
      </w:r>
    </w:p>
    <w:p w:rsidR="00457B9A" w:rsidRPr="0005135E" w:rsidRDefault="00457B9A" w:rsidP="00457B9A">
      <w:pPr>
        <w:ind w:firstLine="284"/>
        <w:jc w:val="both"/>
        <w:rPr>
          <w:rFonts w:ascii="Times New Roman" w:eastAsia="Times New Roman" w:hAnsi="Times New Roman"/>
          <w:b/>
          <w:bCs/>
          <w:color w:val="000000"/>
          <w:sz w:val="24"/>
          <w:szCs w:val="20"/>
        </w:rPr>
      </w:pPr>
    </w:p>
    <w:p w:rsidR="00457B9A" w:rsidRPr="0005135E" w:rsidRDefault="00457B9A" w:rsidP="00457B9A">
      <w:pPr>
        <w:pStyle w:val="Heading4"/>
        <w:numPr>
          <w:ilvl w:val="0"/>
          <w:numId w:val="1"/>
        </w:numPr>
        <w:ind w:left="284" w:hanging="284"/>
        <w:rPr>
          <w:rFonts w:ascii="Times New Roman" w:eastAsia="Times New Roman" w:hAnsi="Times New Roman"/>
          <w:b/>
          <w:bCs/>
          <w:sz w:val="24"/>
          <w:lang w:val="en-US"/>
        </w:rPr>
      </w:pPr>
      <w:r w:rsidRPr="0005135E">
        <w:rPr>
          <w:rFonts w:ascii="Times New Roman" w:eastAsia="Times New Roman" w:hAnsi="Times New Roman"/>
          <w:b/>
          <w:bCs/>
          <w:sz w:val="24"/>
          <w:lang w:val="en-US"/>
        </w:rPr>
        <w:t>Theoretical Background</w:t>
      </w:r>
    </w:p>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2.1 Agency Theory</w:t>
      </w:r>
    </w:p>
    <w:p w:rsidR="00457B9A" w:rsidRPr="0005135E" w:rsidRDefault="00457B9A" w:rsidP="00457B9A">
      <w:pPr>
        <w:ind w:firstLine="284"/>
        <w:jc w:val="both"/>
        <w:rPr>
          <w:rFonts w:ascii="Times New Roman" w:eastAsia="Times New Roman" w:hAnsi="Times New Roman"/>
          <w:sz w:val="24"/>
          <w:szCs w:val="24"/>
        </w:rPr>
      </w:pPr>
      <w:r w:rsidRPr="0005135E">
        <w:rPr>
          <w:rFonts w:ascii="Times New Roman" w:eastAsia="Times New Roman" w:hAnsi="Times New Roman"/>
          <w:sz w:val="24"/>
          <w:szCs w:val="24"/>
        </w:rPr>
        <w:t xml:space="preserve">Jensen and </w:t>
      </w:r>
      <w:proofErr w:type="spellStart"/>
      <w:r w:rsidRPr="0005135E">
        <w:rPr>
          <w:rFonts w:ascii="Times New Roman" w:eastAsia="Times New Roman" w:hAnsi="Times New Roman"/>
          <w:sz w:val="24"/>
          <w:szCs w:val="24"/>
        </w:rPr>
        <w:t>Meckling</w:t>
      </w:r>
      <w:proofErr w:type="spellEnd"/>
      <w:r w:rsidRPr="0005135E">
        <w:rPr>
          <w:rFonts w:ascii="Times New Roman" w:eastAsia="Times New Roman" w:hAnsi="Times New Roman"/>
          <w:sz w:val="24"/>
          <w:szCs w:val="24"/>
        </w:rPr>
        <w:t xml:space="preserve"> (1976) developed Agency Theory comprehensively. The agency relationship represents a contract between company owners (principals) and managers (agents) for delegating operational and strategic authority. This relationship generates conflict. Principals pursue long-term company value. Agents pursue personal interests, such as compensation and position stability. These conflicting orientations create agency problems and agency costs. Agency Theory is a grand theory that links the CEO duality, audit tenure, and firm complexity with financial statement integrity. CEO duality has the potential to weaken oversight functions because the concentration of power in one individual increases the likelihood of opportunistic behavior. Audit tenure is related to the independence of auditors as external supervisors who can help reduce information asymmetry and moral hazard. Firm complexity increases the complexity of structures and information volume, thereby expanding information asymmetry and making it difficult for owners to monitor management effectively. Therefore, these three variables have a direct relationship with the level of agency conflict and the potential for a decline in financial reporting integrity.</w:t>
      </w:r>
    </w:p>
    <w:p w:rsidR="00457B9A" w:rsidRPr="0005135E" w:rsidRDefault="00457B9A" w:rsidP="00457B9A">
      <w:pPr>
        <w:ind w:firstLine="284"/>
        <w:jc w:val="both"/>
        <w:rPr>
          <w:rFonts w:ascii="Times New Roman" w:eastAsia="Times New Roman" w:hAnsi="Times New Roman"/>
          <w:sz w:val="24"/>
          <w:szCs w:val="24"/>
        </w:rPr>
      </w:pPr>
    </w:p>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2.2 Financial Statement Integrity</w:t>
      </w:r>
    </w:p>
    <w:p w:rsidR="00457B9A" w:rsidRPr="0005135E" w:rsidRDefault="00457B9A" w:rsidP="00457B9A">
      <w:pPr>
        <w:ind w:firstLine="284"/>
        <w:jc w:val="both"/>
        <w:rPr>
          <w:rFonts w:ascii="Times New Roman" w:eastAsia="Times New Roman" w:hAnsi="Times New Roman"/>
          <w:sz w:val="24"/>
          <w:szCs w:val="24"/>
        </w:rPr>
      </w:pPr>
      <w:r w:rsidRPr="0005135E">
        <w:rPr>
          <w:rFonts w:ascii="Times New Roman" w:eastAsia="Times New Roman" w:hAnsi="Times New Roman"/>
          <w:sz w:val="24"/>
          <w:szCs w:val="24"/>
        </w:rPr>
        <w:t xml:space="preserve">PSAK 201 establishes financial statement integrity as a key principle. This principle ensures reports accurately and fairly represent financial position, performance, and cash flows, or a true and fair view. Four mechanisms realize integrity: fair presentation, compliance with SAK, application of going concern assumptions, and adequate disclosure. These mechanisms form the basis for presentation quality. Financial statement integrity conceptually reflects honest, relevant, and reliable information without distortion. This integrity demonstrates management responsibility for reporting company condition honestly </w:t>
      </w:r>
      <w:r w:rsidRPr="0005135E">
        <w:rPr>
          <w:rFonts w:ascii="Times New Roman" w:eastAsia="Times New Roman" w:hAnsi="Times New Roman"/>
          <w:sz w:val="24"/>
          <w:szCs w:val="24"/>
        </w:rPr>
        <w:fldChar w:fldCharType="begin" w:fldLock="1"/>
      </w:r>
      <w:r w:rsidRPr="0005135E">
        <w:rPr>
          <w:rFonts w:ascii="Times New Roman" w:eastAsia="Times New Roman" w:hAnsi="Times New Roman"/>
          <w:sz w:val="24"/>
          <w:szCs w:val="24"/>
        </w:rPr>
        <w:instrText>ADDIN CSL_CITATION {"citationItems":[{"id":"ITEM-1","itemData":{"author":[{"dropping-particle":"","family":"Wiyandari","given":"Rachmanita Putri","non-dropping-particle":"","parse-names":false,"suffix":""},{"dropping-particle":"","family":"Susilowati","given":"Endah","non-dropping-particle":"","parse-names":false,"suffix":""}],"container-title":"BEHAVIORAL ACCOUNTING JURNAL","id":"ITEM-1","issued":{"date-parts":[["2025"]]},"title":"Analisis Akuntabilitas dan Transparansi Keuangan sebagai Bentuk Pencegahan Korupsi pada Perusahaan Publik dalam Perspektif Keberlanjutan Sosial dan SDGs","type":"article-journal"},"uris":["http://www.mendeley.com/documents/?uuid=f89046f6-dde9-3fbd-a578-2f8ea64dfaae"]}],"mendeley":{"formattedCitation":"(Wiyandari &amp; Susilowati, 2025)","plainTextFormattedCitation":"(Wiyandari &amp; Susilowati, 2025)","previouslyFormattedCitation":"(Wiyandari &amp; Susilowati, 2025)"},"properties":{"noteIndex":0},"schema":"https://github.com/citation-style-language/schema/raw/master/csl-citation.json"}</w:instrText>
      </w:r>
      <w:r w:rsidRPr="0005135E">
        <w:rPr>
          <w:rFonts w:ascii="Times New Roman" w:eastAsia="Times New Roman" w:hAnsi="Times New Roman"/>
          <w:sz w:val="24"/>
          <w:szCs w:val="24"/>
        </w:rPr>
        <w:fldChar w:fldCharType="separate"/>
      </w:r>
      <w:r w:rsidRPr="0005135E">
        <w:rPr>
          <w:rFonts w:ascii="Times New Roman" w:eastAsia="Times New Roman" w:hAnsi="Times New Roman"/>
          <w:noProof/>
          <w:sz w:val="24"/>
          <w:szCs w:val="24"/>
        </w:rPr>
        <w:t>(Wiyandari &amp; Susilowati, 2025)</w:t>
      </w:r>
      <w:r w:rsidRPr="0005135E">
        <w:rPr>
          <w:rFonts w:ascii="Times New Roman" w:eastAsia="Times New Roman" w:hAnsi="Times New Roman"/>
          <w:sz w:val="24"/>
          <w:szCs w:val="24"/>
        </w:rPr>
        <w:fldChar w:fldCharType="end"/>
      </w:r>
      <w:r w:rsidRPr="0005135E">
        <w:rPr>
          <w:rFonts w:ascii="Times New Roman" w:eastAsia="Times New Roman" w:hAnsi="Times New Roman"/>
          <w:sz w:val="24"/>
          <w:szCs w:val="24"/>
        </w:rPr>
        <w:t xml:space="preserve">. The level of integrity is influenced by the effectiveness of internal controls, auditor independence, organizational complexity, and external pressures such as business risks. Strong control and oversight mechanisms are necessary to ensure that reports remain objective and free from manipulation </w:t>
      </w:r>
      <w:r w:rsidRPr="0005135E">
        <w:rPr>
          <w:rFonts w:ascii="Times New Roman" w:eastAsia="Times New Roman" w:hAnsi="Times New Roman"/>
          <w:sz w:val="24"/>
          <w:szCs w:val="24"/>
        </w:rPr>
        <w:fldChar w:fldCharType="begin" w:fldLock="1"/>
      </w:r>
      <w:r w:rsidRPr="0005135E">
        <w:rPr>
          <w:rFonts w:ascii="Times New Roman" w:eastAsia="Times New Roman" w:hAnsi="Times New Roman"/>
          <w:sz w:val="24"/>
          <w:szCs w:val="24"/>
        </w:rPr>
        <w:instrText>ADDIN CSL_CITATION {"citationItems":[{"id":"ITEM-1","itemData":{"abstract":"Penelitian ini bertujuan untuk menganalisis pengaruh kompetensi sumber daya manusia (SDM) dan pemanfaatan teknologi informasi (TI) terhadap kualitas laporan keuangan pemerintah daerah melalui pendekatan literature review. Dalam era digitalisasi, akuntabilitas dan transparansi dalam pengelolaan keuangan publik menjadi tuntutan utama. Berdasarkan analisis terhadap 15 artikel ilmiah terbitan tahun 2020–2025, ditemukan bahwa kompetensi SDM memiliki pengaruh signifikan terhadap kualitas laporan keuangan, terutama dalam hal pemahaman regulasi, ketepatan penyajian, dan akurasi informasi. Pemanfaatan TI juga terbukti mampu meningkatkan efisiensi dan efektivitas dalam proses pelaporan, namun efektivitasnya sangat dipengaruhi oleh tingkat kemampuan SDM dalam mengoperasikan sistem yang ada. Penelitian ini menegaskan bahwa kedua variabel tersebut saling melengkapi dan harus dioptimalkan secara simultan untuk menghasilkan laporan keuangan yang lebih akurat, andal, dan sesuai standar. Hasil penelitian ini memberikan kontribusi konseptual terhadap pentingnya sinergi antara SDM dan TI dalam meningkatkan kualitas pelaporan keuangan di sektor publik.","author":[{"dropping-particle":"","family":"Izzah","given":"Tasya Reviana Nurul","non-dropping-particle":"","parse-names":false,"suffix":""},{"dropping-particle":"","family":"Pratiwi","given":"Vinata Dyah Ayu","non-dropping-particle":"","parse-names":false,"suffix":""},{"dropping-particle":"","family":"Suhatmi","given":"Erna Chotidjah","non-dropping-particle":"","parse-names":false,"suffix":""}],"chapter-number":"Article","container-title":"Proceedings Law, Accounting, Business, Economics and Language","id":"ITEM-1","issue":"1","issued":{"date-parts":[["2025"]]},"language":"en","page":"321-326","title":"PENGARUH KOMPETENSI SDM DAN PEMANFAATAN TEKNOLOGI INFORMASI TERHADAP KUALITAS LAPORAN KEUANGAN PEMERINTAH","type":"article-journal","volume":"2"},"uris":["http://www.mendeley.com/documents/?uuid=4b0092ca-e592-381e-af1d-4e09135022dd"]}],"mendeley":{"formattedCitation":"(Izzah et al., 2025)","plainTextFormattedCitation":"(Izzah et al., 2025)","previouslyFormattedCitation":"(Izzah et al., 2025)"},"properties":{"noteIndex":0},"schema":"https://github.com/citation-style-language/schema/raw/master/csl-citation.json"}</w:instrText>
      </w:r>
      <w:r w:rsidRPr="0005135E">
        <w:rPr>
          <w:rFonts w:ascii="Times New Roman" w:eastAsia="Times New Roman" w:hAnsi="Times New Roman"/>
          <w:sz w:val="24"/>
          <w:szCs w:val="24"/>
        </w:rPr>
        <w:fldChar w:fldCharType="separate"/>
      </w:r>
      <w:r w:rsidRPr="0005135E">
        <w:rPr>
          <w:rFonts w:ascii="Times New Roman" w:eastAsia="Times New Roman" w:hAnsi="Times New Roman"/>
          <w:noProof/>
          <w:sz w:val="24"/>
          <w:szCs w:val="24"/>
        </w:rPr>
        <w:t>(Izzah et al., 2025)</w:t>
      </w:r>
      <w:r w:rsidRPr="0005135E">
        <w:rPr>
          <w:rFonts w:ascii="Times New Roman" w:eastAsia="Times New Roman" w:hAnsi="Times New Roman"/>
          <w:sz w:val="24"/>
          <w:szCs w:val="24"/>
        </w:rPr>
        <w:fldChar w:fldCharType="end"/>
      </w:r>
      <w:r w:rsidRPr="0005135E">
        <w:rPr>
          <w:rFonts w:ascii="Times New Roman" w:eastAsia="Times New Roman" w:hAnsi="Times New Roman"/>
          <w:sz w:val="24"/>
          <w:szCs w:val="24"/>
        </w:rPr>
        <w:t xml:space="preserve">. High financial statement integrity builds public trust and demonstrates effective governance, while low integrity reflects potential agency problems and the risk of statement manipulation </w:t>
      </w:r>
      <w:r w:rsidRPr="0005135E">
        <w:rPr>
          <w:rFonts w:ascii="Times New Roman" w:eastAsia="Times New Roman" w:hAnsi="Times New Roman"/>
          <w:sz w:val="24"/>
          <w:szCs w:val="24"/>
        </w:rPr>
        <w:fldChar w:fldCharType="begin" w:fldLock="1"/>
      </w:r>
      <w:r w:rsidRPr="0005135E">
        <w:rPr>
          <w:rFonts w:ascii="Times New Roman" w:eastAsia="Times New Roman" w:hAnsi="Times New Roman"/>
          <w:sz w:val="24"/>
          <w:szCs w:val="24"/>
        </w:rPr>
        <w:instrText>ADDIN CSL_CITATION {"citationItems":[{"id":"ITEM-1","itemData":{"ISSN":"2716-2710","abstract":"Financial statement integrity is how financial statements should be presented correctly because they will be accounted for to stakeholders. The existence of audit quality, audit tenure, leverage, liquidity and profitability are factors that can affect the integrity of financial statements. This study aims to reexamine the effect of audit quality, audit tenure, leverage, liquidity and profitability on the integrity of financial statements. The population in this study was 125 primary consumer goods sector companies listed on the Indonesia Stock Exchange. The sampling method used was the purposive sampling method. The sample determination method obtained was 59 companies. The data analysis technique used was multiple linear regression analysis. The results showed that audit quality, leverage, and liquidity did not affect the integrity of financial statements. Audit tenure had a positive effect on the integrity of financial statements, while profitability had a negative effect on the integrity of financial statements.","author":[{"dropping-particle":"","family":"Gusti Ayu Intan Purnama Sari","given":"I","non-dropping-particle":"","parse-names":false,"suffix":""},{"dropping-particle":"","family":"Ayu Nirma Prameswari","given":"Ida","non-dropping-particle":"","parse-names":false,"suffix":""},{"dropping-particle":"","family":"Made Mya Yudia Sari","given":"Desak","non-dropping-particle":"","parse-names":false,"suffix":""}],"container-title":"Kumpulan Hasil Riset Mahasiswa Akuntansi (KHARISMA)","id":"ITEM-1","issue":"2","issued":{"date-parts":[["2025"]]},"page":"558-570","title":"Faktor-faktor yang Mempengaruhi Integritas Laporan Keuangan Perusahaan Sektor Barang Konsumen Primer yang Terdaftar di BEI Tahun 2021-2023","type":"article-journal","volume":"7"},"uris":["http://www.mendeley.com/documents/?uuid=5b6671a7-761d-3e2f-ad3c-c232b578f541"]}],"mendeley":{"formattedCitation":"(Gusti Ayu Intan Purnama Sari et al., 2025)","plainTextFormattedCitation":"(Gusti Ayu Intan Purnama Sari et al., 2025)","previouslyFormattedCitation":"(Gusti Ayu Intan Purnama Sari et al., 2025)"},"properties":{"noteIndex":0},"schema":"https://github.com/citation-style-language/schema/raw/master/csl-citation.json"}</w:instrText>
      </w:r>
      <w:r w:rsidRPr="0005135E">
        <w:rPr>
          <w:rFonts w:ascii="Times New Roman" w:eastAsia="Times New Roman" w:hAnsi="Times New Roman"/>
          <w:sz w:val="24"/>
          <w:szCs w:val="24"/>
        </w:rPr>
        <w:fldChar w:fldCharType="separate"/>
      </w:r>
      <w:r w:rsidRPr="0005135E">
        <w:rPr>
          <w:rFonts w:ascii="Times New Roman" w:eastAsia="Times New Roman" w:hAnsi="Times New Roman"/>
          <w:noProof/>
          <w:sz w:val="24"/>
          <w:szCs w:val="24"/>
        </w:rPr>
        <w:t>(Gusti Ayu Intan Purnama Sari et al., 2025)</w:t>
      </w:r>
      <w:r w:rsidRPr="0005135E">
        <w:rPr>
          <w:rFonts w:ascii="Times New Roman" w:eastAsia="Times New Roman" w:hAnsi="Times New Roman"/>
          <w:sz w:val="24"/>
          <w:szCs w:val="24"/>
        </w:rPr>
        <w:fldChar w:fldCharType="end"/>
      </w:r>
      <w:r w:rsidRPr="0005135E">
        <w:rPr>
          <w:rFonts w:ascii="Times New Roman" w:eastAsia="Times New Roman" w:hAnsi="Times New Roman"/>
          <w:sz w:val="24"/>
          <w:szCs w:val="24"/>
        </w:rPr>
        <w:t>.</w:t>
      </w:r>
    </w:p>
    <w:p w:rsidR="00457B9A" w:rsidRPr="0005135E" w:rsidRDefault="00457B9A" w:rsidP="00457B9A">
      <w:pPr>
        <w:jc w:val="both"/>
        <w:rPr>
          <w:rFonts w:ascii="Times New Roman" w:eastAsia="Times New Roman" w:hAnsi="Times New Roman"/>
          <w:sz w:val="24"/>
          <w:szCs w:val="24"/>
        </w:rPr>
      </w:pPr>
    </w:p>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2.3 CEO Duality</w:t>
      </w:r>
    </w:p>
    <w:p w:rsidR="00457B9A" w:rsidRPr="0005135E" w:rsidRDefault="00457B9A" w:rsidP="00457B9A">
      <w:pPr>
        <w:ind w:firstLine="284"/>
        <w:jc w:val="both"/>
        <w:rPr>
          <w:rFonts w:ascii="Times New Roman" w:eastAsia="Times New Roman" w:hAnsi="Times New Roman"/>
          <w:sz w:val="24"/>
          <w:szCs w:val="24"/>
        </w:rPr>
      </w:pPr>
      <w:r w:rsidRPr="0005135E">
        <w:rPr>
          <w:rFonts w:ascii="Times New Roman" w:eastAsia="Times New Roman" w:hAnsi="Times New Roman"/>
          <w:sz w:val="24"/>
          <w:szCs w:val="24"/>
        </w:rPr>
        <w:t xml:space="preserve">CEO duality means one individual holds the CEO role and the Chairman of the Board of Commissioners role. This condition concentrates executive and supervisory powers in one person. This concentration reduces monitoring effectiveness. This concentration also weakens board independence </w:t>
      </w:r>
      <w:r w:rsidRPr="0005135E">
        <w:rPr>
          <w:rFonts w:ascii="Times New Roman" w:eastAsia="Times New Roman" w:hAnsi="Times New Roman"/>
          <w:sz w:val="24"/>
          <w:szCs w:val="24"/>
        </w:rPr>
        <w:fldChar w:fldCharType="begin" w:fldLock="1"/>
      </w:r>
      <w:r w:rsidRPr="0005135E">
        <w:rPr>
          <w:rFonts w:ascii="Times New Roman" w:eastAsia="Times New Roman" w:hAnsi="Times New Roman"/>
          <w:sz w:val="24"/>
          <w:szCs w:val="24"/>
        </w:rPr>
        <w:instrText>ADDIN CSL_CITATION {"citationItems":[{"id":"ITEM-1","itemData":{"author":[{"dropping-particle":"","family":"Dahlia","given":"Renata","non-dropping-particle":"","parse-names":false,"suffix":""},{"dropping-particle":"","family":"Permatasari","given":"Yani","non-dropping-particle":"","parse-names":false,"suffix":""}],"container-title":"Jurnal Akuntansi dan Auditing","id":"ITEM-1","issued":{"date-parts":[["2024"]]},"title":"CEO Duality and Financial Performance During COVID-19","type":"article-journal"},"uris":["http://www.mendeley.com/documents/?uuid=71349b92-9bcf-3d6d-ac2a-9f933faeaea2"]}],"mendeley":{"formattedCitation":"(Dahlia &amp; Permatasari, 2024)","plainTextFormattedCitation":"(Dahlia &amp; Permatasari, 2024)","previouslyFormattedCitation":"(Dahlia &amp; Permatasari, 2024)"},"properties":{"noteIndex":0},"schema":"https://github.com/citation-style-language/schema/raw/master/csl-citation.json"}</w:instrText>
      </w:r>
      <w:r w:rsidRPr="0005135E">
        <w:rPr>
          <w:rFonts w:ascii="Times New Roman" w:eastAsia="Times New Roman" w:hAnsi="Times New Roman"/>
          <w:sz w:val="24"/>
          <w:szCs w:val="24"/>
        </w:rPr>
        <w:fldChar w:fldCharType="separate"/>
      </w:r>
      <w:r w:rsidRPr="0005135E">
        <w:rPr>
          <w:rFonts w:ascii="Times New Roman" w:eastAsia="Times New Roman" w:hAnsi="Times New Roman"/>
          <w:noProof/>
          <w:sz w:val="24"/>
          <w:szCs w:val="24"/>
        </w:rPr>
        <w:t>(Dahlia &amp; Permatasari, 2024)</w:t>
      </w:r>
      <w:r w:rsidRPr="0005135E">
        <w:rPr>
          <w:rFonts w:ascii="Times New Roman" w:eastAsia="Times New Roman" w:hAnsi="Times New Roman"/>
          <w:sz w:val="24"/>
          <w:szCs w:val="24"/>
        </w:rPr>
        <w:fldChar w:fldCharType="end"/>
      </w:r>
      <w:r w:rsidRPr="0005135E">
        <w:rPr>
          <w:rFonts w:ascii="Times New Roman" w:eastAsia="Times New Roman" w:hAnsi="Times New Roman"/>
          <w:sz w:val="24"/>
          <w:szCs w:val="24"/>
        </w:rPr>
        <w:t xml:space="preserve">. From an agency theory perspective, CEO duality increases conflicts of interest when managers have power over both executive and supervisory functions. Weak check and balance mechanisms open opportunities for management to exploit information asymmetry, engage in opportunistic behavior, and reduce reporting transparency </w:t>
      </w:r>
      <w:r w:rsidRPr="0005135E">
        <w:rPr>
          <w:rFonts w:ascii="Times New Roman" w:eastAsia="Times New Roman" w:hAnsi="Times New Roman"/>
          <w:sz w:val="24"/>
          <w:szCs w:val="24"/>
        </w:rPr>
        <w:fldChar w:fldCharType="begin" w:fldLock="1"/>
      </w:r>
      <w:r w:rsidRPr="0005135E">
        <w:rPr>
          <w:rFonts w:ascii="Times New Roman" w:eastAsia="Times New Roman" w:hAnsi="Times New Roman"/>
          <w:sz w:val="24"/>
          <w:szCs w:val="24"/>
        </w:rPr>
        <w:instrText>ADDIN CSL_CITATION {"citationItems":[{"id":"ITEM-1","itemData":{"author":[{"dropping-particle":"","family":"Rahayu","given":"Isna Yuni","non-dropping-particle":"","parse-names":false,"suffix":""},{"dropping-particle":"","family":"Susilowati","given":"Endah","non-dropping-particle":"","parse-names":false,"suffix":""}],"container-title":"Jambura Economic Education Journal","id":"ITEM-1","issued":{"date-parts":[["2025"]]},"title":"Presepsi Teori Fraud Hexagon Terhadap Fraudulent Financial Statement","type":"article-journal"},"uris":["http://www.mendeley.com/documents/?uuid=2e4b52e4-d8b1-319d-892d-84518939cce8"]}],"mendeley":{"formattedCitation":"(Rahayu &amp; Susilowati, 2025)","plainTextFormattedCitation":"(Rahayu &amp; Susilowati, 2025)","previouslyFormattedCitation":"(Rahayu &amp; Susilowati, 2025)"},"properties":{"noteIndex":0},"schema":"https://github.com/citation-style-language/schema/raw/master/csl-citation.json"}</w:instrText>
      </w:r>
      <w:r w:rsidRPr="0005135E">
        <w:rPr>
          <w:rFonts w:ascii="Times New Roman" w:eastAsia="Times New Roman" w:hAnsi="Times New Roman"/>
          <w:sz w:val="24"/>
          <w:szCs w:val="24"/>
        </w:rPr>
        <w:fldChar w:fldCharType="separate"/>
      </w:r>
      <w:r w:rsidRPr="0005135E">
        <w:rPr>
          <w:rFonts w:ascii="Times New Roman" w:eastAsia="Times New Roman" w:hAnsi="Times New Roman"/>
          <w:noProof/>
          <w:sz w:val="24"/>
          <w:szCs w:val="24"/>
        </w:rPr>
        <w:t>(Rahayu &amp; Susilowati, 2025)</w:t>
      </w:r>
      <w:r w:rsidRPr="0005135E">
        <w:rPr>
          <w:rFonts w:ascii="Times New Roman" w:eastAsia="Times New Roman" w:hAnsi="Times New Roman"/>
          <w:sz w:val="24"/>
          <w:szCs w:val="24"/>
        </w:rPr>
        <w:fldChar w:fldCharType="end"/>
      </w:r>
      <w:r w:rsidRPr="0005135E">
        <w:rPr>
          <w:rFonts w:ascii="Times New Roman" w:eastAsia="Times New Roman" w:hAnsi="Times New Roman"/>
          <w:sz w:val="24"/>
          <w:szCs w:val="24"/>
        </w:rPr>
        <w:t xml:space="preserve">. This condition implies low financial statement integrity because board oversight becomes less objective, </w:t>
      </w:r>
      <w:r w:rsidRPr="0005135E">
        <w:rPr>
          <w:rFonts w:ascii="Times New Roman" w:eastAsia="Times New Roman" w:hAnsi="Times New Roman"/>
          <w:sz w:val="24"/>
          <w:szCs w:val="24"/>
        </w:rPr>
        <w:lastRenderedPageBreak/>
        <w:t xml:space="preserve">giving management more room to engage in earnings management, lower accrual quality, or manipulate accounting data </w:t>
      </w:r>
      <w:r w:rsidRPr="0005135E">
        <w:rPr>
          <w:rFonts w:ascii="Times New Roman" w:eastAsia="Times New Roman" w:hAnsi="Times New Roman"/>
          <w:sz w:val="24"/>
          <w:szCs w:val="24"/>
        </w:rPr>
        <w:fldChar w:fldCharType="begin" w:fldLock="1"/>
      </w:r>
      <w:r w:rsidRPr="0005135E">
        <w:rPr>
          <w:rFonts w:ascii="Times New Roman" w:eastAsia="Times New Roman" w:hAnsi="Times New Roman"/>
          <w:sz w:val="24"/>
          <w:szCs w:val="24"/>
        </w:rPr>
        <w:instrText>ADDIN CSL_CITATION {"citationItems":[{"id":"ITEM-1","itemData":{"ISSN":"2622-2205","author":[{"dropping-particle":"","family":"Kusumosari","given":"Larassanti","non-dropping-particle":"","parse-names":false,"suffix":""},{"dropping-particle":"","family":"Solikhah","given":"Badingatus","non-dropping-particle":"","parse-names":false,"suffix":""}],"id":"ITEM-1","issued":{"date-parts":[["0"]]},"title":"ANALISIS KECURANGAN LAPORAN KEUANGAN MELALUI FRAUD HEXAGON THEORY","type":"article-journal"},"uris":["http://www.mendeley.com/documents/?uuid=2247ee9b-d753-375e-bc6f-4880a9e34672"]}],"mendeley":{"formattedCitation":"(Kusumosari &amp; Solikhah, n.d.)","manualFormatting":"(Kusumosari &amp; Solikhah, 2021)","plainTextFormattedCitation":"(Kusumosari &amp; Solikhah, n.d.)","previouslyFormattedCitation":"(Kusumosari &amp; Solikhah, n.d.)"},"properties":{"noteIndex":0},"schema":"https://github.com/citation-style-language/schema/raw/master/csl-citation.json"}</w:instrText>
      </w:r>
      <w:r w:rsidRPr="0005135E">
        <w:rPr>
          <w:rFonts w:ascii="Times New Roman" w:eastAsia="Times New Roman" w:hAnsi="Times New Roman"/>
          <w:sz w:val="24"/>
          <w:szCs w:val="24"/>
        </w:rPr>
        <w:fldChar w:fldCharType="separate"/>
      </w:r>
      <w:r w:rsidRPr="0005135E">
        <w:rPr>
          <w:rFonts w:ascii="Times New Roman" w:eastAsia="Times New Roman" w:hAnsi="Times New Roman"/>
          <w:noProof/>
          <w:sz w:val="24"/>
          <w:szCs w:val="24"/>
        </w:rPr>
        <w:t>(Kusumosari &amp; Solikhah, 2021)</w:t>
      </w:r>
      <w:r w:rsidRPr="0005135E">
        <w:rPr>
          <w:rFonts w:ascii="Times New Roman" w:eastAsia="Times New Roman" w:hAnsi="Times New Roman"/>
          <w:sz w:val="24"/>
          <w:szCs w:val="24"/>
        </w:rPr>
        <w:fldChar w:fldCharType="end"/>
      </w:r>
      <w:r w:rsidRPr="0005135E">
        <w:rPr>
          <w:rFonts w:ascii="Times New Roman" w:eastAsia="Times New Roman" w:hAnsi="Times New Roman"/>
          <w:sz w:val="24"/>
          <w:szCs w:val="24"/>
        </w:rPr>
        <w:t xml:space="preserve">. CEO duality occurs when a company leader holds more than one strategic position, which has the potential to lead to a concentration of power and weaken oversight mechanisms. This condition provides opportunities for CEOs to act arbitrarily and modify financial statements </w:t>
      </w:r>
      <w:r w:rsidRPr="0005135E">
        <w:rPr>
          <w:rFonts w:ascii="Times New Roman" w:eastAsia="Times New Roman" w:hAnsi="Times New Roman"/>
          <w:sz w:val="24"/>
          <w:szCs w:val="24"/>
        </w:rPr>
        <w:fldChar w:fldCharType="begin" w:fldLock="1"/>
      </w:r>
      <w:r w:rsidRPr="0005135E">
        <w:rPr>
          <w:rFonts w:ascii="Times New Roman" w:eastAsia="Times New Roman" w:hAnsi="Times New Roman"/>
          <w:sz w:val="24"/>
          <w:szCs w:val="24"/>
        </w:rPr>
        <w:instrText>ADDIN CSL_CITATION {"citationItems":[{"id":"ITEM-1","itemData":{"author":[{"dropping-particle":"","family":"Rahayu","given":"Isna Yuni","non-dropping-particle":"","parse-names":false,"suffix":""},{"dropping-particle":"","family":"Susilowati","given":"Endah","non-dropping-particle":"","parse-names":false,"suffix":""}],"container-title":"Jambura Economic Education Journal","id":"ITEM-1","issued":{"date-parts":[["2025"]]},"title":"Presepsi Teori Fraud Hexagon Terhadap Fraudulent Financial Statement","type":"article-journal"},"uris":["http://www.mendeley.com/documents/?uuid=2e4b52e4-d8b1-319d-892d-84518939cce8"]}],"mendeley":{"formattedCitation":"(Rahayu &amp; Susilowati, 2025)","plainTextFormattedCitation":"(Rahayu &amp; Susilowati, 2025)","previouslyFormattedCitation":"(Rahayu &amp; Susilowati, 2025)"},"properties":{"noteIndex":0},"schema":"https://github.com/citation-style-language/schema/raw/master/csl-citation.json"}</w:instrText>
      </w:r>
      <w:r w:rsidRPr="0005135E">
        <w:rPr>
          <w:rFonts w:ascii="Times New Roman" w:eastAsia="Times New Roman" w:hAnsi="Times New Roman"/>
          <w:sz w:val="24"/>
          <w:szCs w:val="24"/>
        </w:rPr>
        <w:fldChar w:fldCharType="separate"/>
      </w:r>
      <w:r w:rsidRPr="0005135E">
        <w:rPr>
          <w:rFonts w:ascii="Times New Roman" w:eastAsia="Times New Roman" w:hAnsi="Times New Roman"/>
          <w:noProof/>
          <w:sz w:val="24"/>
          <w:szCs w:val="24"/>
        </w:rPr>
        <w:t>(Rahayu &amp; Susilowati, 2025)</w:t>
      </w:r>
      <w:r w:rsidRPr="0005135E">
        <w:rPr>
          <w:rFonts w:ascii="Times New Roman" w:eastAsia="Times New Roman" w:hAnsi="Times New Roman"/>
          <w:sz w:val="24"/>
          <w:szCs w:val="24"/>
        </w:rPr>
        <w:fldChar w:fldCharType="end"/>
      </w:r>
      <w:r w:rsidRPr="0005135E">
        <w:rPr>
          <w:rFonts w:ascii="Times New Roman" w:eastAsia="Times New Roman" w:hAnsi="Times New Roman"/>
          <w:sz w:val="24"/>
          <w:szCs w:val="24"/>
        </w:rPr>
        <w:t>.</w:t>
      </w:r>
    </w:p>
    <w:p w:rsidR="00457B9A" w:rsidRPr="0005135E" w:rsidRDefault="00457B9A" w:rsidP="00457B9A">
      <w:pPr>
        <w:jc w:val="both"/>
        <w:rPr>
          <w:rFonts w:ascii="Times New Roman" w:eastAsia="Times New Roman" w:hAnsi="Times New Roman"/>
          <w:sz w:val="24"/>
          <w:szCs w:val="24"/>
        </w:rPr>
      </w:pPr>
    </w:p>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2.4 Audit Tenure</w:t>
      </w:r>
    </w:p>
    <w:p w:rsidR="00457B9A" w:rsidRPr="0005135E" w:rsidRDefault="00457B9A" w:rsidP="00457B9A">
      <w:pPr>
        <w:ind w:firstLine="284"/>
        <w:jc w:val="both"/>
        <w:rPr>
          <w:rFonts w:ascii="Times New Roman" w:eastAsia="Times New Roman" w:hAnsi="Times New Roman"/>
          <w:sz w:val="24"/>
          <w:szCs w:val="24"/>
        </w:rPr>
      </w:pPr>
      <w:r w:rsidRPr="0005135E">
        <w:rPr>
          <w:rFonts w:ascii="Times New Roman" w:eastAsia="Times New Roman" w:hAnsi="Times New Roman"/>
          <w:sz w:val="24"/>
          <w:szCs w:val="24"/>
        </w:rPr>
        <w:t xml:space="preserve">Audit tenure measures the professional engagement duration between a public accounting firm (KAP) or auditor and a client. Indonesian regulation KMK RI No. 359/KMK.06/2003 Article 2 limits KAP tenure to five consecutive years maximum. The same regulation limits auditor tenure to three consecutive years maximum. These limits serve three purposes: maintaining independence, preventing excessive closeness, and ensuring objective audit quality </w:t>
      </w:r>
      <w:r w:rsidRPr="0005135E">
        <w:rPr>
          <w:rFonts w:ascii="Times New Roman" w:eastAsia="Times New Roman" w:hAnsi="Times New Roman"/>
          <w:sz w:val="24"/>
          <w:szCs w:val="24"/>
        </w:rPr>
        <w:fldChar w:fldCharType="begin" w:fldLock="1"/>
      </w:r>
      <w:r w:rsidRPr="0005135E">
        <w:rPr>
          <w:rFonts w:ascii="Times New Roman" w:eastAsia="Times New Roman" w:hAnsi="Times New Roman"/>
          <w:sz w:val="24"/>
          <w:szCs w:val="24"/>
        </w:rPr>
        <w:instrText>ADDIN CSL_CITATION {"citationItems":[{"id":"ITEM-1","itemData":{"author":[{"dropping-particle":"","family":"Rasid","given":"Sulaeman","non-dropping-particle":"Al","parse-names":false,"suffix":""},{"dropping-particle":"","family":"Herliansyah","given":"Yudhi","non-dropping-particle":"","parse-names":false,"suffix":""}],"container-title":"Indonesian Interdisciplinary Journal of Sharia Economics (IIJSE","id":"ITEM-1","issue":"3","issued":{"date-parts":[["2024"]]},"title":"THE EFFECT OF AUDIT COMMITTEE, INDEPENDENT COMMISSIONERS, LEVERAGE, AUDIT QUALITY AND AUDIT TENURE ON THE INTEGRITY OF FINANCIAL REPORTS (EMPIRICAL STUDY ON MINING COMPANIES IN THE OIL, GAS &amp; COAL SUB-SECTOR LISTED ON THE INDONESIA STOCK EXCHANGE FOR THE PERIOD 2019-2022)","type":"report","volume":"7"},"uris":["http://www.mendeley.com/documents/?uuid=6da4dcf7-6421-3cbf-9d69-6ef83ccc1df4"]}],"mendeley":{"formattedCitation":"(Al Rasid &amp; Herliansyah, 2024)","plainTextFormattedCitation":"(Al Rasid &amp; Herliansyah, 2024)","previouslyFormattedCitation":"(Al Rasid &amp; Herliansyah, 2024)"},"properties":{"noteIndex":0},"schema":"https://github.com/citation-style-language/schema/raw/master/csl-citation.json"}</w:instrText>
      </w:r>
      <w:r w:rsidRPr="0005135E">
        <w:rPr>
          <w:rFonts w:ascii="Times New Roman" w:eastAsia="Times New Roman" w:hAnsi="Times New Roman"/>
          <w:sz w:val="24"/>
          <w:szCs w:val="24"/>
        </w:rPr>
        <w:fldChar w:fldCharType="separate"/>
      </w:r>
      <w:r w:rsidRPr="0005135E">
        <w:rPr>
          <w:rFonts w:ascii="Times New Roman" w:eastAsia="Times New Roman" w:hAnsi="Times New Roman"/>
          <w:noProof/>
          <w:sz w:val="24"/>
          <w:szCs w:val="24"/>
        </w:rPr>
        <w:t>(Al Rasid &amp; Herliansyah, 2024)</w:t>
      </w:r>
      <w:r w:rsidRPr="0005135E">
        <w:rPr>
          <w:rFonts w:ascii="Times New Roman" w:eastAsia="Times New Roman" w:hAnsi="Times New Roman"/>
          <w:sz w:val="24"/>
          <w:szCs w:val="24"/>
        </w:rPr>
        <w:fldChar w:fldCharType="end"/>
      </w:r>
      <w:r w:rsidRPr="0005135E">
        <w:rPr>
          <w:rFonts w:ascii="Times New Roman" w:eastAsia="Times New Roman" w:hAnsi="Times New Roman"/>
          <w:sz w:val="24"/>
          <w:szCs w:val="24"/>
        </w:rPr>
        <w:t xml:space="preserve">. An overly long engagement period can reduce independence and objectivity because auditors may experience emotional closeness, decreased skepticism, and a tendency to use the same audit methods without updating their strategy, thereby weakening audit quality </w:t>
      </w:r>
      <w:r w:rsidRPr="0005135E">
        <w:rPr>
          <w:rFonts w:ascii="Times New Roman" w:eastAsia="Times New Roman" w:hAnsi="Times New Roman"/>
          <w:sz w:val="24"/>
          <w:szCs w:val="24"/>
        </w:rPr>
        <w:fldChar w:fldCharType="begin" w:fldLock="1"/>
      </w:r>
      <w:r w:rsidRPr="0005135E">
        <w:rPr>
          <w:rFonts w:ascii="Times New Roman" w:eastAsia="Times New Roman" w:hAnsi="Times New Roman"/>
          <w:sz w:val="24"/>
          <w:szCs w:val="24"/>
        </w:rPr>
        <w:instrText>ADDIN CSL_CITATION {"citationItems":[{"id":"ITEM-1","itemData":{"DOI":"10.37641/jimkes.v11i2.1746","ISSN":"2337-7860","abstract":"Financial reports are a means for shareholders, creditors, goverments agencies and other parties to find out the condition and performance of the company.Thus the integrity of financial reports become very important in making decisions for the parties as mentioned above.\r The porpose of this study was to determine the effect of intellect capital, leverage, audit tenure and profitability on the integrity of the financial statements of companies  listed in the food and beverage sector on the Indonesia Stock Exchange for the period 2017-2021. This study uses a quantitative method. The data source  used  comes from the website www.idx.co.id. The data analysis technique used is multiple linier regression analysis using SPSS 22. \r The results of this study indicate that intellectual capital  and returned on assets have significant and positive effect. Leverave and audit tenure has no significant effect to integrity of financial statement  of the companies listed in the food and beverage sector  in Indonesia Stck Exchange   Year 2017-2021","author":[{"dropping-particle":"","family":"Purba","given":"Jamian","non-dropping-particle":"","parse-names":false,"suffix":""},{"dropping-particle":"","family":"Fuadi","given":"Agus","non-dropping-particle":"","parse-names":false,"suffix":""}],"container-title":"Jurnal Ilmiah Manajemen Kesatuan","id":"ITEM-1","issue":"2","issued":{"date-parts":[["2023","8","1"]]},"page":"257-266","publisher":"Institut Bisnis dan Informatika Kesatuan","title":"Pengaruh Intellectual Capital, Leverage, Audit Tenure dan Profitabilitas Terhadap Integritas Laporan Keuangan","type":"article-journal","volume":"11"},"uris":["http://www.mendeley.com/documents/?uuid=f04e0fff-6d75-31cf-8bf4-886f37a651c4"]}],"mendeley":{"formattedCitation":"(Purba &amp; Fuadi, 2023)","plainTextFormattedCitation":"(Purba &amp; Fuadi, 2023)","previouslyFormattedCitation":"(Purba &amp; Fuadi, 2023)"},"properties":{"noteIndex":0},"schema":"https://github.com/citation-style-language/schema/raw/master/csl-citation.json"}</w:instrText>
      </w:r>
      <w:r w:rsidRPr="0005135E">
        <w:rPr>
          <w:rFonts w:ascii="Times New Roman" w:eastAsia="Times New Roman" w:hAnsi="Times New Roman"/>
          <w:sz w:val="24"/>
          <w:szCs w:val="24"/>
        </w:rPr>
        <w:fldChar w:fldCharType="separate"/>
      </w:r>
      <w:r w:rsidRPr="0005135E">
        <w:rPr>
          <w:rFonts w:ascii="Times New Roman" w:eastAsia="Times New Roman" w:hAnsi="Times New Roman"/>
          <w:noProof/>
          <w:sz w:val="24"/>
          <w:szCs w:val="24"/>
        </w:rPr>
        <w:t>(Purba &amp; Fuadi, 2023)</w:t>
      </w:r>
      <w:r w:rsidRPr="0005135E">
        <w:rPr>
          <w:rFonts w:ascii="Times New Roman" w:eastAsia="Times New Roman" w:hAnsi="Times New Roman"/>
          <w:sz w:val="24"/>
          <w:szCs w:val="24"/>
        </w:rPr>
        <w:fldChar w:fldCharType="end"/>
      </w:r>
      <w:r w:rsidRPr="0005135E">
        <w:rPr>
          <w:rFonts w:ascii="Times New Roman" w:eastAsia="Times New Roman" w:hAnsi="Times New Roman"/>
          <w:sz w:val="24"/>
          <w:szCs w:val="24"/>
        </w:rPr>
        <w:t xml:space="preserve">. Audit tenure describes the length of time an auditor handles a client. An excessively long duration can reduce auditor independence and affect objectivity in assessing the fairness of financial statements </w:t>
      </w:r>
      <w:r w:rsidRPr="0005135E">
        <w:rPr>
          <w:rFonts w:ascii="Times New Roman" w:eastAsia="Times New Roman" w:hAnsi="Times New Roman"/>
          <w:sz w:val="24"/>
          <w:szCs w:val="24"/>
        </w:rPr>
        <w:fldChar w:fldCharType="begin" w:fldLock="1"/>
      </w:r>
      <w:r w:rsidRPr="0005135E">
        <w:rPr>
          <w:rFonts w:ascii="Times New Roman" w:eastAsia="Times New Roman" w:hAnsi="Times New Roman"/>
          <w:sz w:val="24"/>
          <w:szCs w:val="24"/>
        </w:rPr>
        <w:instrText>ADDIN CSL_CITATION {"citationItems":[{"id":"ITEM-1","itemData":{"DOI":"10.33087/jiubj.v22i1.2012","ISSN":"2549-4236","abstract":"&lt;p&gt;This study aims to determine the effect of the public accounting firm size, audit tenure, audit fee and auditor independence on the integrity of financial statements on mining companies listed on the Indonesia Stock Exchange (IDX) in 2014-2018. Accounting conservatism is used to measure the integrity of financial statements. The subjects examined in this study were mining companies listed on the Indonesia Stock Exchange in 2014-2018. The sample is selected by purposive sampling method and 19 companies were obtained as samples from a total population of 49 companies. The observation period in this study is 5 years and obtain a total of 95 data.. The analytical tool used is logistic regression analysis. The results of this research shows that public accounting firm size, audit tenure, audit fee and auditor independence simultaneously affect the integrity of financial statements. Partially, this research proves that public accounting firm size and auditor independence affect the integrity of financial statements while audit tenure and audit fees do not affect the integrity of financial statements.&lt;/p&gt;","author":[{"dropping-particle":"","family":"Auliyah","given":"Al Hafiz Fitra","non-dropping-particle":"","parse-names":false,"suffix":""},{"dropping-particle":"","family":"Fitriyani","given":"Dewi","non-dropping-particle":"","parse-names":false,"suffix":""},{"dropping-particle":"","family":"Herawaty","given":"Netty","non-dropping-particle":"","parse-names":false,"suffix":""}],"container-title":"Jurnal Ilmiah Universitas Batanghari Jambi","id":"ITEM-1","issue":"1","issued":{"date-parts":[["2022","2","19"]]},"page":"272","title":"Analisis Pengaruh Ukuran KAP, Audit Tenure, Audit Fee dan Independensi Auditor Terhadap Integritas Laporan Keuangan","type":"article-journal","volume":"22"},"uris":["http://www.mendeley.com/documents/?uuid=b3055fe9-7d6a-3038-9655-a1481d6ab1a0"]}],"mendeley":{"formattedCitation":"(Auliyah et al., 2022)","plainTextFormattedCitation":"(Auliyah et al., 2022)","previouslyFormattedCitation":"(Auliyah et al., 2022)"},"properties":{"noteIndex":0},"schema":"https://github.com/citation-style-language/schema/raw/master/csl-citation.json"}</w:instrText>
      </w:r>
      <w:r w:rsidRPr="0005135E">
        <w:rPr>
          <w:rFonts w:ascii="Times New Roman" w:eastAsia="Times New Roman" w:hAnsi="Times New Roman"/>
          <w:sz w:val="24"/>
          <w:szCs w:val="24"/>
        </w:rPr>
        <w:fldChar w:fldCharType="separate"/>
      </w:r>
      <w:r w:rsidRPr="0005135E">
        <w:rPr>
          <w:rFonts w:ascii="Times New Roman" w:eastAsia="Times New Roman" w:hAnsi="Times New Roman"/>
          <w:noProof/>
          <w:sz w:val="24"/>
          <w:szCs w:val="24"/>
        </w:rPr>
        <w:t>(Auliyah et al., 2022)</w:t>
      </w:r>
      <w:r w:rsidRPr="0005135E">
        <w:rPr>
          <w:rFonts w:ascii="Times New Roman" w:eastAsia="Times New Roman" w:hAnsi="Times New Roman"/>
          <w:sz w:val="24"/>
          <w:szCs w:val="24"/>
        </w:rPr>
        <w:fldChar w:fldCharType="end"/>
      </w:r>
      <w:r w:rsidRPr="0005135E">
        <w:rPr>
          <w:rFonts w:ascii="Times New Roman" w:eastAsia="Times New Roman" w:hAnsi="Times New Roman"/>
          <w:sz w:val="24"/>
          <w:szCs w:val="24"/>
        </w:rPr>
        <w:t>.</w:t>
      </w:r>
    </w:p>
    <w:p w:rsidR="00457B9A" w:rsidRPr="0005135E" w:rsidRDefault="00457B9A" w:rsidP="00457B9A">
      <w:pPr>
        <w:jc w:val="both"/>
        <w:rPr>
          <w:rFonts w:ascii="Times New Roman" w:eastAsia="Times New Roman" w:hAnsi="Times New Roman"/>
          <w:sz w:val="24"/>
          <w:szCs w:val="24"/>
        </w:rPr>
      </w:pPr>
    </w:p>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2.5 Firm Complexity</w:t>
      </w:r>
    </w:p>
    <w:p w:rsidR="00457B9A" w:rsidRPr="0005135E" w:rsidRDefault="00457B9A" w:rsidP="00457B9A">
      <w:pPr>
        <w:ind w:firstLine="284"/>
        <w:jc w:val="both"/>
        <w:rPr>
          <w:rFonts w:ascii="Times New Roman" w:eastAsia="Times New Roman" w:hAnsi="Times New Roman"/>
          <w:sz w:val="24"/>
          <w:szCs w:val="24"/>
        </w:rPr>
      </w:pPr>
      <w:r w:rsidRPr="0005135E">
        <w:rPr>
          <w:rFonts w:ascii="Times New Roman" w:eastAsia="Times New Roman" w:hAnsi="Times New Roman"/>
          <w:sz w:val="24"/>
          <w:szCs w:val="24"/>
        </w:rPr>
        <w:t xml:space="preserve">Firm complexity refers to the level of complexity of an entity's organizational structure, operational activities, and financial transactions. This complexity arises due to the large number of work units, process variations, and diverse control systems that run simultaneously. Complexity is usually measured by the number of subsidiaries, the diversity of business lines, and involvement in cross-border operations, which increase the challenges of recording, internal control, and financial reporting processes </w:t>
      </w:r>
      <w:r w:rsidRPr="0005135E">
        <w:rPr>
          <w:rFonts w:ascii="Times New Roman" w:eastAsia="Times New Roman" w:hAnsi="Times New Roman"/>
          <w:sz w:val="24"/>
          <w:szCs w:val="24"/>
        </w:rPr>
        <w:fldChar w:fldCharType="begin" w:fldLock="1"/>
      </w:r>
      <w:r w:rsidRPr="0005135E">
        <w:rPr>
          <w:rFonts w:ascii="Times New Roman" w:eastAsia="Times New Roman" w:hAnsi="Times New Roman"/>
          <w:sz w:val="24"/>
          <w:szCs w:val="24"/>
        </w:rPr>
        <w:instrText>ADDIN CSL_CITATION {"citationItems":[{"id":"ITEM-1","itemData":{"DOI":"10.30598/arujournalvol1iss1pp13-22","abstract":"Penelitian ini bertujuan untuk menguji pengaruh ukuran perusahaan, opini auditor dan umurperusahaan terhadap audit delay. Populasi dalam penelitian ini adalah perusahaan industri barangkonsumsi yang terdaftar di Bursa Efek Indonesia. Sampel dalam penelitian adalah perusahaanindustri barang konsumsi yang terdaftar di Bursa Efek Indonesia dipilih menggunakan metodepurposive sampling. Metode analisis data yang digunakan adalah analisis linear berganda. Hasildari penelitian ini menunjukan bahwa secara parsial, ukuran perusahaan tidak berpengaruhsignifikan terhadap audit delay, opini auditor berpengaruh signifikan terhadap audit delay, danumur perusahaan tidak berpengaruh signifikan terhadap audit delay. Secara simultan, ukuranperusahaan, opini auditor dan umur perusahaan berpengaruh signifikan terhadap audit delay","author":[{"dropping-particle":"","family":"Patinaja","given":"Elna","non-dropping-particle":"","parse-names":false,"suffix":""},{"dropping-particle":"","family":"Siahainenia","given":"Pieter","non-dropping-particle":"","parse-names":false,"suffix":""}],"chapter-number":"Articles","container-title":"Accounting Research Unit (ARU Journal)","id":"ITEM-1","issue":"1","issued":{"date-parts":[["2020","11","18"]]},"title":"Pengaruh Ukuran Perusahaan, Opini Auditor dan Umur Perusahaan Terhadap Audit Delay","type":"article-journal","volume":"1"},"uris":["http://www.mendeley.com/documents/?uuid=ec9db5c9-a0fb-3558-a8db-3ffcf7954073"]}],"mendeley":{"formattedCitation":"(Patinaja &amp; Siahainenia, 2020)","plainTextFormattedCitation":"(Patinaja &amp; Siahainenia, 2020)","previouslyFormattedCitation":"(Patinaja &amp; Siahainenia, 2020)"},"properties":{"noteIndex":0},"schema":"https://github.com/citation-style-language/schema/raw/master/csl-citation.json"}</w:instrText>
      </w:r>
      <w:r w:rsidRPr="0005135E">
        <w:rPr>
          <w:rFonts w:ascii="Times New Roman" w:eastAsia="Times New Roman" w:hAnsi="Times New Roman"/>
          <w:sz w:val="24"/>
          <w:szCs w:val="24"/>
        </w:rPr>
        <w:fldChar w:fldCharType="separate"/>
      </w:r>
      <w:r w:rsidRPr="0005135E">
        <w:rPr>
          <w:rFonts w:ascii="Times New Roman" w:eastAsia="Times New Roman" w:hAnsi="Times New Roman"/>
          <w:noProof/>
          <w:sz w:val="24"/>
          <w:szCs w:val="24"/>
        </w:rPr>
        <w:t>(Patinaja &amp; Siahainenia, 2020)</w:t>
      </w:r>
      <w:r w:rsidRPr="0005135E">
        <w:rPr>
          <w:rFonts w:ascii="Times New Roman" w:eastAsia="Times New Roman" w:hAnsi="Times New Roman"/>
          <w:sz w:val="24"/>
          <w:szCs w:val="24"/>
        </w:rPr>
        <w:fldChar w:fldCharType="end"/>
      </w:r>
      <w:r w:rsidRPr="0005135E">
        <w:rPr>
          <w:rFonts w:ascii="Times New Roman" w:eastAsia="Times New Roman" w:hAnsi="Times New Roman"/>
          <w:sz w:val="24"/>
          <w:szCs w:val="24"/>
        </w:rPr>
        <w:t xml:space="preserve">. High complexity also increases the risk of misstatement and internal control weaknesses due to layered structures, diversity of activities, and the spread of business units across various regulatory regions. Product variations, differences in operational risks, and business environment characteristics between units add to the challenges in preparing reliable financial statements </w:t>
      </w:r>
      <w:r w:rsidRPr="0005135E">
        <w:rPr>
          <w:rFonts w:ascii="Times New Roman" w:eastAsia="Times New Roman" w:hAnsi="Times New Roman"/>
          <w:sz w:val="24"/>
          <w:szCs w:val="24"/>
        </w:rPr>
        <w:fldChar w:fldCharType="begin" w:fldLock="1"/>
      </w:r>
      <w:r w:rsidRPr="0005135E">
        <w:rPr>
          <w:rFonts w:ascii="Times New Roman" w:eastAsia="Times New Roman" w:hAnsi="Times New Roman"/>
          <w:sz w:val="24"/>
          <w:szCs w:val="24"/>
        </w:rPr>
        <w:instrText>ADDIN CSL_CITATION {"citationItems":[{"id":"ITEM-1","itemData":{"DOI":"10.56799/ekoma.v4i3.7160","abstract":"&amp;lt;p&amp;gt;Penelitian ini bertujuan menganalisis dan membuktikan apakah reputasi KAP, Pertumbuhan keuangan Perusahaan, Kompleksitas operasi Perusahaan mempengaruhi Risiko keuangan dan Opini audit dengan Good Corporate Governance sebagai variabel moderating di perusahaan consumer cyclicals selama 5 tahun, penelitian ini menggunakan 115 sampel laporan keuangan dari 23 perusahaan untuk menganalisis dan membuktikan apakah reputasi KAP, pertumbuhan keuntungan perusahaan, dan kompleksitas operasi perusahaan mempengaruhi risiko keuangan dan opini audit dengan Good Corporate Governance sebagai moderasi. Purposive sampling adalah metode pengambilan sampel non-sampling yang memberikan beberapa kriteria kepada peneliti. Model Equation Structural-Partial Least Square (SEM-PLS) digunakan untuk analisis penelitian ini. Software SMART PLS versi 4.0 digunakan untuk melakukan ini. Hasil penelitian ini menunjukkan bahwa reputasi KAP memengaruhi opini audit dan kompleksitas operasi perusahaan memengaruhi risiko keuangan.&amp;lt;/p&amp;gt;","author":[{"dropping-particle":"","family":"Pardede","given":"Esther Tioma Nauly","non-dropping-particle":"","parse-names":false,"suffix":""},{"dropping-particle":"","family":"Ratnawati","given":"Tri","non-dropping-particle":"","parse-names":false,"suffix":""}],"chapter-number":"Articles","container-title":"EKOMA : Jurnal Ekonomi, Manajemen, Akuntansi","id":"ITEM-1","issue":"3","issued":{"date-parts":[["2025","3","17"]]},"page":"5833-5844","title":"Pengaruh Reputasi KAP, Pertumbuhan Keuangan Perusahaan, Kompleksitas Operasi Perusahaan Terhadap Risiko Keuangan Dan Opini Audit Dengan Good Corporate Governance Sebagai Variabel Moderating","type":"article-journal","volume":"4"},"uris":["http://www.mendeley.com/documents/?uuid=a1b15830-6b7a-3c3a-becd-1ba44ef8ed95"]}],"mendeley":{"formattedCitation":"(Pardede &amp; Ratnawati, 2025)","plainTextFormattedCitation":"(Pardede &amp; Ratnawati, 2025)","previouslyFormattedCitation":"(Pardede &amp; Ratnawati, 2025)"},"properties":{"noteIndex":0},"schema":"https://github.com/citation-style-language/schema/raw/master/csl-citation.json"}</w:instrText>
      </w:r>
      <w:r w:rsidRPr="0005135E">
        <w:rPr>
          <w:rFonts w:ascii="Times New Roman" w:eastAsia="Times New Roman" w:hAnsi="Times New Roman"/>
          <w:sz w:val="24"/>
          <w:szCs w:val="24"/>
        </w:rPr>
        <w:fldChar w:fldCharType="separate"/>
      </w:r>
      <w:r w:rsidRPr="0005135E">
        <w:rPr>
          <w:rFonts w:ascii="Times New Roman" w:eastAsia="Times New Roman" w:hAnsi="Times New Roman"/>
          <w:noProof/>
          <w:sz w:val="24"/>
          <w:szCs w:val="24"/>
        </w:rPr>
        <w:t>(Pardede &amp; Ratnawati, 2025)</w:t>
      </w:r>
      <w:r w:rsidRPr="0005135E">
        <w:rPr>
          <w:rFonts w:ascii="Times New Roman" w:eastAsia="Times New Roman" w:hAnsi="Times New Roman"/>
          <w:sz w:val="24"/>
          <w:szCs w:val="24"/>
        </w:rPr>
        <w:fldChar w:fldCharType="end"/>
      </w:r>
      <w:r w:rsidRPr="0005135E">
        <w:rPr>
          <w:rFonts w:ascii="Times New Roman" w:eastAsia="Times New Roman" w:hAnsi="Times New Roman"/>
          <w:sz w:val="24"/>
          <w:szCs w:val="24"/>
        </w:rPr>
        <w:t xml:space="preserve">. The complexity of a firm reflects the difficulty in managing increasingly diverse business activities and transactions. A complex firm structure increases the risk of recording errors and makes supervision difficult, thereby reducing the integrity of financial reports </w:t>
      </w:r>
      <w:r w:rsidRPr="0005135E">
        <w:rPr>
          <w:rFonts w:ascii="Times New Roman" w:eastAsia="Times New Roman" w:hAnsi="Times New Roman"/>
          <w:sz w:val="24"/>
          <w:szCs w:val="24"/>
        </w:rPr>
        <w:fldChar w:fldCharType="begin" w:fldLock="1"/>
      </w:r>
      <w:r w:rsidRPr="0005135E">
        <w:rPr>
          <w:rFonts w:ascii="Times New Roman" w:eastAsia="Times New Roman" w:hAnsi="Times New Roman"/>
          <w:sz w:val="24"/>
          <w:szCs w:val="24"/>
        </w:rPr>
        <w:instrText>ADDIN CSL_CITATION {"citationItems":[{"id":"ITEM-1","itemData":{"DOI":"10.54066/jrea-itb.v3i1.3072","ISSN":"2985-6264","abstract":"This study aims to examine the influence of Operational Complexity, Company Size, and Audit Committee on Audit Quality with Audit Delay as a moderating variable. The population in this research consists of all banking companies listed on the Indonesia Stock Exchange during the 2019–2023 period. The sampling technique used was the purposive sampling method and obtained 47 company samples. The analysis methods used were Descriptive Statistical Analysis, Logistic Regression Analysis, Hypothesis Testing and Moderation Regression Analysis. The results of this study indicate that partially Complexity Operational and Audit Committe has a positive effect on Audit Quality and the variables Company Size do not affect Audit Quality. The results of the study for the moderating variable, namely Audit Delay, are able to moderate (weaken) the positive effect of Audit Committe on Audit Quality and Audit Delay is unable to moderate Complexity Operational and Company Size.","author":[{"dropping-particle":"","family":"Febria Amanda","given":"","non-dropping-particle":"","parse-names":false,"suffix":""},{"dropping-particle":"","family":"David Pangaribuan","given":"","non-dropping-particle":"","parse-names":false,"suffix":""},{"dropping-particle":"","family":"Panata Bangar Hasioan Sianipar","given":"","non-dropping-particle":"","parse-names":false,"suffix":""}],"container-title":"Jurnal Riset Ekonomi dan Akuntansi","id":"ITEM-1","issue":"1","issued":{"date-parts":[["2025","2","14"]]},"page":"283-301","publisher":"Institut Teknologi dan Bisnis Semarang","title":"Pengaruh Kompleksitas Operasi, Ukuran Perusahaan dan Komite Audit terhadap Kualitas Audit dengan Audit Delay sebagai Moderasi","type":"article-journal","volume":"3"},"uris":["http://www.mendeley.com/documents/?uuid=7a22a1fd-fad5-3a99-a4c0-79b4f5ee4a8e"]}],"mendeley":{"formattedCitation":"(Febria Amanda et al., 2025)","plainTextFormattedCitation":"(Febria Amanda et al., 2025)","previouslyFormattedCitation":"(Febria Amanda et al., 2025)"},"properties":{"noteIndex":0},"schema":"https://github.com/citation-style-language/schema/raw/master/csl-citation.json"}</w:instrText>
      </w:r>
      <w:r w:rsidRPr="0005135E">
        <w:rPr>
          <w:rFonts w:ascii="Times New Roman" w:eastAsia="Times New Roman" w:hAnsi="Times New Roman"/>
          <w:sz w:val="24"/>
          <w:szCs w:val="24"/>
        </w:rPr>
        <w:fldChar w:fldCharType="separate"/>
      </w:r>
      <w:r w:rsidRPr="0005135E">
        <w:rPr>
          <w:rFonts w:ascii="Times New Roman" w:eastAsia="Times New Roman" w:hAnsi="Times New Roman"/>
          <w:noProof/>
          <w:sz w:val="24"/>
          <w:szCs w:val="24"/>
        </w:rPr>
        <w:t>(Febria Amanda et al., 2025)</w:t>
      </w:r>
      <w:r w:rsidRPr="0005135E">
        <w:rPr>
          <w:rFonts w:ascii="Times New Roman" w:eastAsia="Times New Roman" w:hAnsi="Times New Roman"/>
          <w:sz w:val="24"/>
          <w:szCs w:val="24"/>
        </w:rPr>
        <w:fldChar w:fldCharType="end"/>
      </w:r>
      <w:r w:rsidRPr="0005135E">
        <w:rPr>
          <w:rFonts w:ascii="Times New Roman" w:eastAsia="Times New Roman" w:hAnsi="Times New Roman"/>
          <w:sz w:val="24"/>
          <w:szCs w:val="24"/>
        </w:rPr>
        <w:t>.</w:t>
      </w:r>
    </w:p>
    <w:p w:rsidR="00457B9A" w:rsidRPr="0005135E" w:rsidRDefault="00457B9A" w:rsidP="00457B9A">
      <w:pPr>
        <w:jc w:val="both"/>
        <w:rPr>
          <w:rFonts w:ascii="Times New Roman" w:eastAsia="Times New Roman" w:hAnsi="Times New Roman"/>
          <w:sz w:val="24"/>
          <w:szCs w:val="24"/>
        </w:rPr>
      </w:pPr>
    </w:p>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2.6 Firm Risk</w:t>
      </w:r>
    </w:p>
    <w:p w:rsidR="00457B9A" w:rsidRPr="0005135E" w:rsidRDefault="00457B9A" w:rsidP="00457B9A">
      <w:pPr>
        <w:ind w:firstLine="284"/>
        <w:jc w:val="both"/>
        <w:rPr>
          <w:rFonts w:ascii="Times New Roman" w:eastAsia="Times New Roman" w:hAnsi="Times New Roman"/>
          <w:sz w:val="24"/>
          <w:szCs w:val="24"/>
        </w:rPr>
      </w:pPr>
      <w:r w:rsidRPr="0005135E">
        <w:rPr>
          <w:rFonts w:ascii="Times New Roman" w:eastAsia="Times New Roman" w:hAnsi="Times New Roman"/>
          <w:sz w:val="24"/>
          <w:szCs w:val="24"/>
        </w:rPr>
        <w:t xml:space="preserve">Firm risk, which is generally proxied by the Debt-to-Equity Ratio (DER), describes the level of financial risk borne by a company in its operational financing. DER shows how much funding comes from debt compared to equity, so that when DER is high, the company bears a heavier burden of interest and payment obligations, which in turn can put pressure on cash flow, reduce financial flexibility, and increase the potential for default </w:t>
      </w:r>
      <w:r w:rsidRPr="0005135E">
        <w:rPr>
          <w:rFonts w:ascii="Times New Roman" w:eastAsia="Times New Roman" w:hAnsi="Times New Roman"/>
          <w:sz w:val="24"/>
          <w:szCs w:val="24"/>
        </w:rPr>
        <w:fldChar w:fldCharType="begin" w:fldLock="1"/>
      </w:r>
      <w:r w:rsidRPr="0005135E">
        <w:rPr>
          <w:rFonts w:ascii="Times New Roman" w:eastAsia="Times New Roman" w:hAnsi="Times New Roman"/>
          <w:sz w:val="24"/>
          <w:szCs w:val="24"/>
        </w:rPr>
        <w:instrText>ADDIN CSL_CITATION {"citationItems":[{"id":"ITEM-1","itemData":{"author":[{"dropping-particle":"","family":"Pratiwi","given":"Dilla Indah","non-dropping-particle":"","parse-names":false,"suffix":""},{"dropping-particle":"","family":"Ramadhan","given":"Rian Rahmat","non-dropping-particle":"","parse-names":false,"suffix":""},{"dropping-particle":"","family":"Hastuti","given":"Dwi","non-dropping-particle":"","parse-names":false,"suffix":""}],"container-title":"Jurnal Ilmiah Mahasiswa Merdeka EMBA","id":"ITEM-1","issued":{"date-parts":[["2025"]]},"title":"Dilla+Indah+Pratiwi","type":"article-journal"},"uris":["http://www.mendeley.com/documents/?uuid=8401c08d-ef89-3c0c-b566-070b789a2ef9"]}],"mendeley":{"formattedCitation":"(Pratiwi et al., 2025)","plainTextFormattedCitation":"(Pratiwi et al., 2025)","previouslyFormattedCitation":"(Pratiwi et al., 2025)"},"properties":{"noteIndex":0},"schema":"https://github.com/citation-style-language/schema/raw/master/csl-citation.json"}</w:instrText>
      </w:r>
      <w:r w:rsidRPr="0005135E">
        <w:rPr>
          <w:rFonts w:ascii="Times New Roman" w:eastAsia="Times New Roman" w:hAnsi="Times New Roman"/>
          <w:sz w:val="24"/>
          <w:szCs w:val="24"/>
        </w:rPr>
        <w:fldChar w:fldCharType="separate"/>
      </w:r>
      <w:r w:rsidRPr="0005135E">
        <w:rPr>
          <w:rFonts w:ascii="Times New Roman" w:eastAsia="Times New Roman" w:hAnsi="Times New Roman"/>
          <w:noProof/>
          <w:sz w:val="24"/>
          <w:szCs w:val="24"/>
        </w:rPr>
        <w:t>(Pratiwi et al., 2025)</w:t>
      </w:r>
      <w:r w:rsidRPr="0005135E">
        <w:rPr>
          <w:rFonts w:ascii="Times New Roman" w:eastAsia="Times New Roman" w:hAnsi="Times New Roman"/>
          <w:sz w:val="24"/>
          <w:szCs w:val="24"/>
        </w:rPr>
        <w:fldChar w:fldCharType="end"/>
      </w:r>
      <w:r w:rsidRPr="0005135E">
        <w:rPr>
          <w:rFonts w:ascii="Times New Roman" w:eastAsia="Times New Roman" w:hAnsi="Times New Roman"/>
          <w:sz w:val="24"/>
          <w:szCs w:val="24"/>
        </w:rPr>
        <w:t xml:space="preserve">. High leverage creates continuous pressure for management to demonstrate stable profitability in order to maintain access to funding. When the DER is very high, credit risk increases and management faces strong incentives to report </w:t>
      </w:r>
      <w:r w:rsidRPr="0005135E">
        <w:rPr>
          <w:rFonts w:ascii="Times New Roman" w:eastAsia="Times New Roman" w:hAnsi="Times New Roman"/>
          <w:sz w:val="24"/>
          <w:szCs w:val="24"/>
        </w:rPr>
        <w:lastRenderedPageBreak/>
        <w:t xml:space="preserve">favorable performance, thereby increasing the likelihood of financial reporting fraud </w:t>
      </w:r>
      <w:r w:rsidRPr="0005135E">
        <w:rPr>
          <w:rFonts w:ascii="Times New Roman" w:eastAsia="Times New Roman" w:hAnsi="Times New Roman"/>
          <w:sz w:val="24"/>
          <w:szCs w:val="24"/>
        </w:rPr>
        <w:fldChar w:fldCharType="begin" w:fldLock="1"/>
      </w:r>
      <w:r w:rsidRPr="0005135E">
        <w:rPr>
          <w:rFonts w:ascii="Times New Roman" w:eastAsia="Times New Roman" w:hAnsi="Times New Roman"/>
          <w:sz w:val="24"/>
          <w:szCs w:val="24"/>
        </w:rPr>
        <w:instrText>ADDIN CSL_CITATION {"citationItems":[{"id":"ITEM-1","itemData":{"author":[{"dropping-particle":"","family":"Yaramah","given":"Wati","non-dropping-particle":"","parse-names":false,"suffix":""},{"dropping-particle":"","family":"Hidayat","given":"Imam","non-dropping-particle":"","parse-names":false,"suffix":""}],"container-title":"Competitive Jurnal Akuntansi dan Keuangan","id":"ITEM-1","issued":{"date-parts":[["2022"]]},"title":"5885-15831-1-PB","type":"article-journal"},"uris":["http://www.mendeley.com/documents/?uuid=77f1658a-054b-3853-8ac5-032bfcdbb280"]}],"mendeley":{"formattedCitation":"(Yaramah &amp; Hidayat, 2022)","plainTextFormattedCitation":"(Yaramah &amp; Hidayat, 2022)","previouslyFormattedCitation":"(Yaramah &amp; Hidayat, 2022)"},"properties":{"noteIndex":0},"schema":"https://github.com/citation-style-language/schema/raw/master/csl-citation.json"}</w:instrText>
      </w:r>
      <w:r w:rsidRPr="0005135E">
        <w:rPr>
          <w:rFonts w:ascii="Times New Roman" w:eastAsia="Times New Roman" w:hAnsi="Times New Roman"/>
          <w:sz w:val="24"/>
          <w:szCs w:val="24"/>
        </w:rPr>
        <w:fldChar w:fldCharType="separate"/>
      </w:r>
      <w:r w:rsidRPr="0005135E">
        <w:rPr>
          <w:rFonts w:ascii="Times New Roman" w:eastAsia="Times New Roman" w:hAnsi="Times New Roman"/>
          <w:noProof/>
          <w:sz w:val="24"/>
          <w:szCs w:val="24"/>
        </w:rPr>
        <w:t>(Yaramah &amp; Hidayat, 2022)</w:t>
      </w:r>
      <w:r w:rsidRPr="0005135E">
        <w:rPr>
          <w:rFonts w:ascii="Times New Roman" w:eastAsia="Times New Roman" w:hAnsi="Times New Roman"/>
          <w:sz w:val="24"/>
          <w:szCs w:val="24"/>
        </w:rPr>
        <w:fldChar w:fldCharType="end"/>
      </w:r>
      <w:r w:rsidRPr="0005135E">
        <w:rPr>
          <w:rFonts w:ascii="Times New Roman" w:eastAsia="Times New Roman" w:hAnsi="Times New Roman"/>
          <w:sz w:val="24"/>
          <w:szCs w:val="24"/>
        </w:rPr>
        <w:t>.</w:t>
      </w:r>
    </w:p>
    <w:p w:rsidR="00457B9A" w:rsidRPr="0005135E" w:rsidRDefault="00457B9A" w:rsidP="00457B9A">
      <w:pPr>
        <w:jc w:val="both"/>
        <w:rPr>
          <w:rFonts w:ascii="Times New Roman" w:eastAsia="Times New Roman" w:hAnsi="Times New Roman"/>
          <w:sz w:val="24"/>
          <w:szCs w:val="24"/>
        </w:rPr>
      </w:pPr>
    </w:p>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2.7 Hypotheses Development</w:t>
      </w:r>
    </w:p>
    <w:p w:rsidR="00457B9A" w:rsidRPr="0005135E" w:rsidRDefault="00457B9A" w:rsidP="00457B9A">
      <w:pPr>
        <w:ind w:firstLine="270"/>
        <w:jc w:val="both"/>
        <w:rPr>
          <w:rFonts w:ascii="Times New Roman" w:eastAsia="Times New Roman" w:hAnsi="Times New Roman"/>
          <w:sz w:val="24"/>
          <w:szCs w:val="24"/>
        </w:rPr>
      </w:pPr>
      <w:r w:rsidRPr="0005135E">
        <w:rPr>
          <w:rFonts w:ascii="Times New Roman" w:eastAsia="Times New Roman" w:hAnsi="Times New Roman"/>
          <w:sz w:val="24"/>
          <w:szCs w:val="24"/>
        </w:rPr>
        <w:t>Based on the theoretical framework and empirical evidence discussed above, the following hypotheses are proposed for this study:</w:t>
      </w:r>
    </w:p>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H</w:t>
      </w:r>
      <w:r w:rsidRPr="0005135E">
        <w:rPr>
          <w:rFonts w:ascii="Times New Roman" w:eastAsia="Times New Roman" w:hAnsi="Times New Roman"/>
          <w:sz w:val="24"/>
          <w:szCs w:val="24"/>
          <w:vertAlign w:val="subscript"/>
        </w:rPr>
        <w:t>1</w:t>
      </w:r>
      <w:r w:rsidRPr="0005135E">
        <w:rPr>
          <w:rFonts w:ascii="Times New Roman" w:eastAsia="Times New Roman" w:hAnsi="Times New Roman"/>
          <w:sz w:val="24"/>
          <w:szCs w:val="24"/>
        </w:rPr>
        <w:t>: CEO duality has a negative effect on financial statement integrity.</w:t>
      </w:r>
    </w:p>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H</w:t>
      </w:r>
      <w:r w:rsidRPr="0005135E">
        <w:rPr>
          <w:rFonts w:ascii="Times New Roman" w:eastAsia="Times New Roman" w:hAnsi="Times New Roman"/>
          <w:sz w:val="24"/>
          <w:szCs w:val="24"/>
          <w:vertAlign w:val="subscript"/>
        </w:rPr>
        <w:t>2</w:t>
      </w:r>
      <w:r w:rsidRPr="0005135E">
        <w:rPr>
          <w:rFonts w:ascii="Times New Roman" w:eastAsia="Times New Roman" w:hAnsi="Times New Roman"/>
          <w:sz w:val="24"/>
          <w:szCs w:val="24"/>
        </w:rPr>
        <w:t>: Audit tenure has a negative effect on financial statement integrity.</w:t>
      </w:r>
    </w:p>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H</w:t>
      </w:r>
      <w:r w:rsidRPr="0005135E">
        <w:rPr>
          <w:rFonts w:ascii="Times New Roman" w:eastAsia="Times New Roman" w:hAnsi="Times New Roman"/>
          <w:sz w:val="24"/>
          <w:szCs w:val="24"/>
          <w:vertAlign w:val="subscript"/>
        </w:rPr>
        <w:t>3</w:t>
      </w:r>
      <w:r w:rsidRPr="0005135E">
        <w:rPr>
          <w:rFonts w:ascii="Times New Roman" w:eastAsia="Times New Roman" w:hAnsi="Times New Roman"/>
          <w:sz w:val="24"/>
          <w:szCs w:val="24"/>
        </w:rPr>
        <w:t>: Company complexity has a positive effect on financial statement integrity.</w:t>
      </w:r>
    </w:p>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H</w:t>
      </w:r>
      <w:r w:rsidRPr="0005135E">
        <w:rPr>
          <w:rFonts w:ascii="Times New Roman" w:eastAsia="Times New Roman" w:hAnsi="Times New Roman"/>
          <w:sz w:val="24"/>
          <w:szCs w:val="24"/>
          <w:vertAlign w:val="subscript"/>
        </w:rPr>
        <w:t>4</w:t>
      </w:r>
      <w:r w:rsidRPr="0005135E">
        <w:rPr>
          <w:rFonts w:ascii="Times New Roman" w:eastAsia="Times New Roman" w:hAnsi="Times New Roman"/>
          <w:sz w:val="24"/>
          <w:szCs w:val="24"/>
        </w:rPr>
        <w:t>: Firm risk moderates the effect of CEO duality on financial statement integrity.</w:t>
      </w:r>
    </w:p>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H</w:t>
      </w:r>
      <w:r w:rsidRPr="0005135E">
        <w:rPr>
          <w:rFonts w:ascii="Times New Roman" w:eastAsia="Times New Roman" w:hAnsi="Times New Roman"/>
          <w:sz w:val="24"/>
          <w:szCs w:val="24"/>
          <w:vertAlign w:val="subscript"/>
        </w:rPr>
        <w:t>5</w:t>
      </w:r>
      <w:r w:rsidRPr="0005135E">
        <w:rPr>
          <w:rFonts w:ascii="Times New Roman" w:eastAsia="Times New Roman" w:hAnsi="Times New Roman"/>
          <w:sz w:val="24"/>
          <w:szCs w:val="24"/>
        </w:rPr>
        <w:t>: Firm risk moderates the effect of audit tenure on financial statement integrity.</w:t>
      </w:r>
    </w:p>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H</w:t>
      </w:r>
      <w:r w:rsidRPr="0005135E">
        <w:rPr>
          <w:rFonts w:ascii="Times New Roman" w:eastAsia="Times New Roman" w:hAnsi="Times New Roman"/>
          <w:sz w:val="24"/>
          <w:szCs w:val="24"/>
          <w:vertAlign w:val="subscript"/>
        </w:rPr>
        <w:t>6</w:t>
      </w:r>
      <w:r w:rsidRPr="0005135E">
        <w:rPr>
          <w:rFonts w:ascii="Times New Roman" w:eastAsia="Times New Roman" w:hAnsi="Times New Roman"/>
          <w:sz w:val="24"/>
          <w:szCs w:val="24"/>
        </w:rPr>
        <w:t>: Firm risk moderates the effect of corporate complexity on financial statement integrity.</w:t>
      </w:r>
    </w:p>
    <w:p w:rsidR="00457B9A" w:rsidRPr="0005135E" w:rsidRDefault="00457B9A" w:rsidP="00457B9A">
      <w:pPr>
        <w:ind w:firstLine="709"/>
        <w:jc w:val="both"/>
        <w:rPr>
          <w:rFonts w:ascii="Times New Roman" w:eastAsia="Times New Roman" w:hAnsi="Times New Roman"/>
          <w:sz w:val="24"/>
          <w:szCs w:val="24"/>
        </w:rPr>
      </w:pPr>
    </w:p>
    <w:p w:rsidR="00457B9A" w:rsidRPr="0005135E" w:rsidRDefault="006D77AE" w:rsidP="00457B9A">
      <w:pPr>
        <w:pStyle w:val="Heading3"/>
        <w:numPr>
          <w:ilvl w:val="0"/>
          <w:numId w:val="1"/>
        </w:numPr>
        <w:spacing w:line="240" w:lineRule="auto"/>
        <w:ind w:left="284" w:hanging="284"/>
        <w:jc w:val="both"/>
        <w:rPr>
          <w:rFonts w:ascii="Times New Roman" w:eastAsia="Times New Roman" w:hAnsi="Times New Roman"/>
          <w:lang w:val="en-US"/>
        </w:rPr>
      </w:pPr>
      <w:r w:rsidRPr="0005135E">
        <w:rPr>
          <w:rFonts w:ascii="Times New Roman" w:eastAsia="Times New Roman" w:hAnsi="Times New Roman"/>
          <w:caps w:val="0"/>
          <w:lang w:val="en-US"/>
        </w:rPr>
        <w:t>Methods</w:t>
      </w:r>
    </w:p>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 xml:space="preserve">3.1 Research Design </w:t>
      </w:r>
    </w:p>
    <w:p w:rsidR="00457B9A" w:rsidRPr="0005135E" w:rsidRDefault="00457B9A" w:rsidP="00457B9A">
      <w:pPr>
        <w:ind w:firstLine="284"/>
        <w:jc w:val="both"/>
        <w:rPr>
          <w:rFonts w:ascii="Times New Roman" w:eastAsia="Times New Roman" w:hAnsi="Times New Roman"/>
          <w:sz w:val="24"/>
          <w:szCs w:val="24"/>
        </w:rPr>
      </w:pPr>
      <w:r w:rsidRPr="0005135E">
        <w:rPr>
          <w:rFonts w:ascii="Times New Roman" w:eastAsia="Times New Roman" w:hAnsi="Times New Roman"/>
          <w:sz w:val="24"/>
          <w:szCs w:val="24"/>
        </w:rPr>
        <w:t xml:space="preserve">This study analyzes CEO Duality, Audit Tenure, and Firm Complexity effects on Financial Statement Integrity. Firm Risk moderates this relationship. Secondary data covers property and real estate companies listed on the IDX from 2020 to 2024. This sector's vulnerability to economic fluctuations and financial pressures justifies its selection. This vulnerability also makes the sector highly relevant for examining reporting integrity. </w:t>
      </w:r>
    </w:p>
    <w:p w:rsidR="00457B9A" w:rsidRPr="0005135E" w:rsidRDefault="00457B9A" w:rsidP="00457B9A">
      <w:pPr>
        <w:jc w:val="both"/>
        <w:rPr>
          <w:rFonts w:ascii="Times New Roman" w:eastAsia="Times New Roman" w:hAnsi="Times New Roman"/>
          <w:sz w:val="24"/>
          <w:szCs w:val="24"/>
        </w:rPr>
      </w:pPr>
    </w:p>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3.2 Population and Sample</w:t>
      </w:r>
    </w:p>
    <w:p w:rsidR="00457B9A" w:rsidRPr="0005135E" w:rsidRDefault="00457B9A" w:rsidP="00457B9A">
      <w:pPr>
        <w:ind w:firstLine="284"/>
        <w:jc w:val="both"/>
        <w:rPr>
          <w:rFonts w:ascii="Times New Roman" w:eastAsia="Times New Roman" w:hAnsi="Times New Roman"/>
          <w:sz w:val="24"/>
          <w:szCs w:val="24"/>
        </w:rPr>
      </w:pPr>
      <w:r w:rsidRPr="0005135E">
        <w:rPr>
          <w:rFonts w:ascii="Times New Roman" w:eastAsia="Times New Roman" w:hAnsi="Times New Roman"/>
          <w:sz w:val="24"/>
          <w:szCs w:val="24"/>
        </w:rPr>
        <w:t>The research population includes all property and real estate sector companies consistently listed on the IDX from 2020 to 2024. Five sampling criteria apply:</w:t>
      </w:r>
    </w:p>
    <w:p w:rsidR="00457B9A" w:rsidRPr="0005135E" w:rsidRDefault="00457B9A" w:rsidP="00457B9A">
      <w:pPr>
        <w:numPr>
          <w:ilvl w:val="0"/>
          <w:numId w:val="2"/>
        </w:numPr>
        <w:tabs>
          <w:tab w:val="clear" w:pos="720"/>
        </w:tabs>
        <w:ind w:left="567"/>
        <w:jc w:val="both"/>
        <w:rPr>
          <w:rFonts w:ascii="Times New Roman" w:eastAsia="Times New Roman" w:hAnsi="Times New Roman"/>
          <w:sz w:val="24"/>
          <w:szCs w:val="24"/>
        </w:rPr>
      </w:pPr>
      <w:r w:rsidRPr="0005135E">
        <w:rPr>
          <w:rFonts w:ascii="Times New Roman" w:eastAsia="Times New Roman" w:hAnsi="Times New Roman"/>
          <w:sz w:val="24"/>
          <w:szCs w:val="24"/>
        </w:rPr>
        <w:t>Property and real estate companies listed on the Indonesia Stock Exchange during 2020 to 2024</w:t>
      </w:r>
    </w:p>
    <w:p w:rsidR="00457B9A" w:rsidRPr="0005135E" w:rsidRDefault="00457B9A" w:rsidP="00457B9A">
      <w:pPr>
        <w:numPr>
          <w:ilvl w:val="0"/>
          <w:numId w:val="2"/>
        </w:numPr>
        <w:tabs>
          <w:tab w:val="clear" w:pos="720"/>
        </w:tabs>
        <w:ind w:left="567"/>
        <w:jc w:val="both"/>
        <w:rPr>
          <w:rFonts w:ascii="Times New Roman" w:eastAsia="Times New Roman" w:hAnsi="Times New Roman"/>
          <w:sz w:val="24"/>
          <w:szCs w:val="24"/>
        </w:rPr>
      </w:pPr>
      <w:r w:rsidRPr="0005135E">
        <w:rPr>
          <w:rFonts w:ascii="Times New Roman" w:eastAsia="Times New Roman" w:hAnsi="Times New Roman"/>
          <w:sz w:val="24"/>
          <w:szCs w:val="24"/>
        </w:rPr>
        <w:t>Companies publishing complete annual reports during 2020 to 2024</w:t>
      </w:r>
    </w:p>
    <w:p w:rsidR="00457B9A" w:rsidRPr="0005135E" w:rsidRDefault="00457B9A" w:rsidP="00457B9A">
      <w:pPr>
        <w:numPr>
          <w:ilvl w:val="0"/>
          <w:numId w:val="2"/>
        </w:numPr>
        <w:tabs>
          <w:tab w:val="clear" w:pos="720"/>
        </w:tabs>
        <w:ind w:left="567"/>
        <w:jc w:val="both"/>
        <w:rPr>
          <w:rFonts w:ascii="Times New Roman" w:eastAsia="Times New Roman" w:hAnsi="Times New Roman"/>
          <w:sz w:val="24"/>
          <w:szCs w:val="24"/>
        </w:rPr>
      </w:pPr>
      <w:r w:rsidRPr="0005135E">
        <w:rPr>
          <w:rFonts w:ascii="Times New Roman" w:eastAsia="Times New Roman" w:hAnsi="Times New Roman"/>
          <w:sz w:val="24"/>
          <w:szCs w:val="24"/>
        </w:rPr>
        <w:t>Companies publishing independent auditor reports during 2020 to 2024</w:t>
      </w:r>
    </w:p>
    <w:p w:rsidR="00457B9A" w:rsidRPr="0005135E" w:rsidRDefault="00457B9A" w:rsidP="00457B9A">
      <w:pPr>
        <w:numPr>
          <w:ilvl w:val="0"/>
          <w:numId w:val="2"/>
        </w:numPr>
        <w:tabs>
          <w:tab w:val="clear" w:pos="720"/>
        </w:tabs>
        <w:ind w:left="567"/>
        <w:jc w:val="both"/>
        <w:rPr>
          <w:rFonts w:ascii="Times New Roman" w:eastAsia="Times New Roman" w:hAnsi="Times New Roman"/>
          <w:sz w:val="24"/>
          <w:szCs w:val="24"/>
        </w:rPr>
      </w:pPr>
      <w:r w:rsidRPr="0005135E">
        <w:rPr>
          <w:rFonts w:ascii="Times New Roman" w:eastAsia="Times New Roman" w:hAnsi="Times New Roman"/>
          <w:sz w:val="24"/>
          <w:szCs w:val="24"/>
        </w:rPr>
        <w:t>Companies conducting an initial public offering (IPO) before the research period start</w:t>
      </w:r>
    </w:p>
    <w:p w:rsidR="00457B9A" w:rsidRPr="0005135E" w:rsidRDefault="00457B9A" w:rsidP="00457B9A">
      <w:pPr>
        <w:numPr>
          <w:ilvl w:val="0"/>
          <w:numId w:val="2"/>
        </w:numPr>
        <w:tabs>
          <w:tab w:val="clear" w:pos="720"/>
        </w:tabs>
        <w:ind w:left="567"/>
        <w:jc w:val="both"/>
        <w:rPr>
          <w:rFonts w:ascii="Times New Roman" w:eastAsia="Times New Roman" w:hAnsi="Times New Roman"/>
          <w:sz w:val="24"/>
          <w:szCs w:val="24"/>
        </w:rPr>
      </w:pPr>
      <w:r w:rsidRPr="0005135E">
        <w:rPr>
          <w:rFonts w:ascii="Times New Roman" w:eastAsia="Times New Roman" w:hAnsi="Times New Roman"/>
          <w:sz w:val="24"/>
          <w:szCs w:val="24"/>
        </w:rPr>
        <w:t>Companies without share suspension by the Indonesia Stock Exchange during the research period</w:t>
      </w:r>
    </w:p>
    <w:p w:rsidR="00457B9A" w:rsidRPr="0005135E" w:rsidRDefault="00457B9A" w:rsidP="00457B9A">
      <w:pPr>
        <w:ind w:left="567"/>
        <w:jc w:val="both"/>
        <w:rPr>
          <w:rFonts w:ascii="Times New Roman" w:eastAsia="Times New Roman" w:hAnsi="Times New Roman"/>
          <w:sz w:val="24"/>
          <w:szCs w:val="24"/>
        </w:rPr>
      </w:pPr>
    </w:p>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3.3 Data Collection Techniques</w:t>
      </w:r>
    </w:p>
    <w:p w:rsidR="00457B9A" w:rsidRPr="0005135E" w:rsidRDefault="00457B9A" w:rsidP="00457B9A">
      <w:pPr>
        <w:ind w:firstLine="284"/>
        <w:jc w:val="both"/>
        <w:rPr>
          <w:rFonts w:ascii="Times New Roman" w:eastAsia="Times New Roman" w:hAnsi="Times New Roman"/>
          <w:sz w:val="24"/>
          <w:szCs w:val="24"/>
        </w:rPr>
      </w:pPr>
      <w:r w:rsidRPr="0005135E">
        <w:rPr>
          <w:rFonts w:ascii="Times New Roman" w:eastAsia="Times New Roman" w:hAnsi="Times New Roman"/>
          <w:sz w:val="24"/>
          <w:szCs w:val="24"/>
        </w:rPr>
        <w:t>All data were obtained from annual reports and financial statements downloaded from the IDX official website, while year-end closing stock prices were taken from Yahoo Finance to support the measurement of variables related to financial statement integrity. The research population included 92 companies in the sector during the observation period, with data selection considering credibility, consistency, and historical availability appropriate to the research needs.</w:t>
      </w:r>
    </w:p>
    <w:p w:rsidR="00457B9A" w:rsidRPr="0005135E" w:rsidRDefault="00457B9A" w:rsidP="00457B9A">
      <w:pPr>
        <w:ind w:firstLine="284"/>
        <w:jc w:val="both"/>
        <w:rPr>
          <w:rFonts w:ascii="Times New Roman" w:eastAsia="Times New Roman" w:hAnsi="Times New Roman"/>
          <w:sz w:val="24"/>
          <w:szCs w:val="24"/>
        </w:rPr>
      </w:pPr>
    </w:p>
    <w:p w:rsidR="00457B9A" w:rsidRPr="0005135E" w:rsidRDefault="00457B9A" w:rsidP="00457B9A">
      <w:pPr>
        <w:ind w:firstLine="284"/>
        <w:jc w:val="both"/>
        <w:rPr>
          <w:rFonts w:ascii="Times New Roman" w:eastAsia="Times New Roman" w:hAnsi="Times New Roman"/>
          <w:sz w:val="24"/>
          <w:szCs w:val="24"/>
        </w:rPr>
      </w:pPr>
    </w:p>
    <w:p w:rsidR="00457B9A" w:rsidRPr="0005135E" w:rsidRDefault="00457B9A" w:rsidP="00457B9A">
      <w:pPr>
        <w:ind w:firstLine="284"/>
        <w:jc w:val="both"/>
        <w:rPr>
          <w:rFonts w:ascii="Times New Roman" w:eastAsia="Times New Roman" w:hAnsi="Times New Roman"/>
          <w:sz w:val="24"/>
          <w:szCs w:val="24"/>
        </w:rPr>
      </w:pPr>
    </w:p>
    <w:p w:rsidR="00457B9A" w:rsidRPr="0005135E" w:rsidRDefault="00457B9A" w:rsidP="00457B9A">
      <w:pPr>
        <w:ind w:firstLine="284"/>
        <w:jc w:val="both"/>
        <w:rPr>
          <w:rFonts w:ascii="Times New Roman" w:eastAsia="Times New Roman" w:hAnsi="Times New Roman"/>
          <w:sz w:val="24"/>
          <w:szCs w:val="24"/>
        </w:rPr>
      </w:pPr>
    </w:p>
    <w:p w:rsidR="00457B9A" w:rsidRPr="0005135E" w:rsidRDefault="00457B9A" w:rsidP="00457B9A">
      <w:pPr>
        <w:ind w:firstLine="284"/>
        <w:jc w:val="both"/>
        <w:rPr>
          <w:rFonts w:ascii="Times New Roman" w:eastAsia="Times New Roman" w:hAnsi="Times New Roman"/>
          <w:sz w:val="24"/>
          <w:szCs w:val="24"/>
        </w:rPr>
      </w:pPr>
    </w:p>
    <w:p w:rsidR="00457B9A" w:rsidRPr="0005135E" w:rsidRDefault="00457B9A" w:rsidP="00457B9A">
      <w:pPr>
        <w:ind w:firstLine="284"/>
        <w:jc w:val="both"/>
        <w:rPr>
          <w:rFonts w:ascii="Times New Roman" w:eastAsia="Times New Roman" w:hAnsi="Times New Roman"/>
          <w:sz w:val="24"/>
          <w:szCs w:val="24"/>
        </w:rPr>
      </w:pPr>
    </w:p>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lastRenderedPageBreak/>
        <w:t>3.4 Operational Definitions of Research Variables</w:t>
      </w:r>
    </w:p>
    <w:p w:rsidR="00457B9A" w:rsidRPr="0005135E" w:rsidRDefault="00457B9A" w:rsidP="00457B9A">
      <w:pPr>
        <w:pStyle w:val="Caption"/>
        <w:keepNext/>
        <w:spacing w:after="0"/>
        <w:jc w:val="left"/>
        <w:rPr>
          <w:rFonts w:ascii="Times New Roman" w:hAnsi="Times New Roman"/>
          <w:i w:val="0"/>
          <w:color w:val="auto"/>
          <w:sz w:val="24"/>
        </w:rPr>
      </w:pPr>
      <w:r w:rsidRPr="0005135E">
        <w:rPr>
          <w:rFonts w:ascii="Times New Roman" w:hAnsi="Times New Roman"/>
          <w:b/>
          <w:i w:val="0"/>
          <w:color w:val="auto"/>
          <w:sz w:val="24"/>
        </w:rPr>
        <w:t xml:space="preserve">Table </w:t>
      </w:r>
      <w:r w:rsidRPr="0005135E">
        <w:rPr>
          <w:rFonts w:ascii="Times New Roman" w:hAnsi="Times New Roman"/>
          <w:b/>
          <w:i w:val="0"/>
          <w:color w:val="auto"/>
          <w:sz w:val="24"/>
        </w:rPr>
        <w:fldChar w:fldCharType="begin"/>
      </w:r>
      <w:r w:rsidRPr="0005135E">
        <w:rPr>
          <w:rFonts w:ascii="Times New Roman" w:hAnsi="Times New Roman"/>
          <w:b/>
          <w:i w:val="0"/>
          <w:color w:val="auto"/>
          <w:sz w:val="24"/>
        </w:rPr>
        <w:instrText xml:space="preserve"> SEQ Table \* ARABIC </w:instrText>
      </w:r>
      <w:r w:rsidRPr="0005135E">
        <w:rPr>
          <w:rFonts w:ascii="Times New Roman" w:hAnsi="Times New Roman"/>
          <w:b/>
          <w:i w:val="0"/>
          <w:color w:val="auto"/>
          <w:sz w:val="24"/>
        </w:rPr>
        <w:fldChar w:fldCharType="separate"/>
      </w:r>
      <w:r w:rsidR="00F12617">
        <w:rPr>
          <w:rFonts w:ascii="Times New Roman" w:hAnsi="Times New Roman"/>
          <w:b/>
          <w:i w:val="0"/>
          <w:noProof/>
          <w:color w:val="auto"/>
          <w:sz w:val="24"/>
        </w:rPr>
        <w:t>1</w:t>
      </w:r>
      <w:r w:rsidRPr="0005135E">
        <w:rPr>
          <w:rFonts w:ascii="Times New Roman" w:hAnsi="Times New Roman"/>
          <w:b/>
          <w:i w:val="0"/>
          <w:color w:val="auto"/>
          <w:sz w:val="24"/>
        </w:rPr>
        <w:fldChar w:fldCharType="end"/>
      </w:r>
      <w:r w:rsidRPr="0005135E">
        <w:rPr>
          <w:rFonts w:ascii="Times New Roman" w:hAnsi="Times New Roman"/>
          <w:b/>
          <w:i w:val="0"/>
          <w:color w:val="auto"/>
          <w:sz w:val="24"/>
        </w:rPr>
        <w:t>.</w:t>
      </w:r>
      <w:r w:rsidRPr="0005135E">
        <w:rPr>
          <w:rFonts w:ascii="Times New Roman" w:hAnsi="Times New Roman"/>
          <w:i w:val="0"/>
          <w:color w:val="auto"/>
          <w:sz w:val="24"/>
        </w:rPr>
        <w:t xml:space="preserve"> Definition Operational Variable</w:t>
      </w:r>
    </w:p>
    <w:tbl>
      <w:tblPr>
        <w:tblStyle w:val="TableGrid1"/>
        <w:tblW w:w="0" w:type="auto"/>
        <w:tblLook w:val="04A0" w:firstRow="1" w:lastRow="0" w:firstColumn="1" w:lastColumn="0" w:noHBand="0" w:noVBand="1"/>
      </w:tblPr>
      <w:tblGrid>
        <w:gridCol w:w="1375"/>
        <w:gridCol w:w="2188"/>
        <w:gridCol w:w="3911"/>
        <w:gridCol w:w="1021"/>
      </w:tblGrid>
      <w:tr w:rsidR="00457B9A" w:rsidRPr="00CA4C71" w:rsidTr="00955D0F">
        <w:tc>
          <w:tcPr>
            <w:tcW w:w="0" w:type="auto"/>
            <w:vAlign w:val="center"/>
          </w:tcPr>
          <w:p w:rsidR="00457B9A" w:rsidRPr="00CA4C71" w:rsidRDefault="00457B9A" w:rsidP="00955D0F">
            <w:pPr>
              <w:rPr>
                <w:rFonts w:ascii="Times New Roman" w:hAnsi="Times New Roman"/>
                <w:b/>
                <w:bCs/>
                <w:sz w:val="23"/>
                <w:szCs w:val="23"/>
              </w:rPr>
            </w:pPr>
            <w:r w:rsidRPr="00CA4C71">
              <w:rPr>
                <w:rFonts w:ascii="Times New Roman" w:hAnsi="Times New Roman"/>
                <w:b/>
                <w:bCs/>
                <w:sz w:val="23"/>
                <w:szCs w:val="23"/>
              </w:rPr>
              <w:t>Variable</w:t>
            </w:r>
          </w:p>
        </w:tc>
        <w:tc>
          <w:tcPr>
            <w:tcW w:w="0" w:type="auto"/>
            <w:vAlign w:val="center"/>
          </w:tcPr>
          <w:p w:rsidR="00457B9A" w:rsidRPr="00CA4C71" w:rsidRDefault="00457B9A" w:rsidP="00955D0F">
            <w:pPr>
              <w:rPr>
                <w:rFonts w:ascii="Times New Roman" w:hAnsi="Times New Roman"/>
                <w:b/>
                <w:bCs/>
                <w:sz w:val="23"/>
                <w:szCs w:val="23"/>
              </w:rPr>
            </w:pPr>
            <w:r w:rsidRPr="00CA4C71">
              <w:rPr>
                <w:rFonts w:ascii="Times New Roman" w:hAnsi="Times New Roman"/>
                <w:b/>
                <w:bCs/>
                <w:sz w:val="23"/>
                <w:szCs w:val="23"/>
              </w:rPr>
              <w:t>Variable Definition</w:t>
            </w:r>
          </w:p>
        </w:tc>
        <w:tc>
          <w:tcPr>
            <w:tcW w:w="0" w:type="auto"/>
            <w:vAlign w:val="center"/>
          </w:tcPr>
          <w:p w:rsidR="00457B9A" w:rsidRPr="00CA4C71" w:rsidRDefault="00457B9A" w:rsidP="00955D0F">
            <w:pPr>
              <w:rPr>
                <w:rFonts w:ascii="Times New Roman" w:hAnsi="Times New Roman"/>
                <w:b/>
                <w:bCs/>
                <w:sz w:val="23"/>
                <w:szCs w:val="23"/>
              </w:rPr>
            </w:pPr>
            <w:r w:rsidRPr="00CA4C71">
              <w:rPr>
                <w:rFonts w:ascii="Times New Roman" w:hAnsi="Times New Roman"/>
                <w:b/>
                <w:bCs/>
                <w:sz w:val="23"/>
                <w:szCs w:val="23"/>
              </w:rPr>
              <w:t>Indicator</w:t>
            </w:r>
          </w:p>
        </w:tc>
        <w:tc>
          <w:tcPr>
            <w:tcW w:w="0" w:type="auto"/>
            <w:vAlign w:val="center"/>
          </w:tcPr>
          <w:p w:rsidR="00457B9A" w:rsidRPr="00CA4C71" w:rsidRDefault="00457B9A" w:rsidP="00955D0F">
            <w:pPr>
              <w:rPr>
                <w:rFonts w:ascii="Times New Roman" w:hAnsi="Times New Roman"/>
                <w:b/>
                <w:bCs/>
                <w:sz w:val="23"/>
                <w:szCs w:val="23"/>
              </w:rPr>
            </w:pPr>
            <w:r w:rsidRPr="00CA4C71">
              <w:rPr>
                <w:rFonts w:ascii="Times New Roman" w:hAnsi="Times New Roman"/>
                <w:b/>
                <w:bCs/>
                <w:sz w:val="23"/>
                <w:szCs w:val="23"/>
              </w:rPr>
              <w:t>Scale</w:t>
            </w:r>
          </w:p>
        </w:tc>
      </w:tr>
      <w:tr w:rsidR="00457B9A" w:rsidRPr="00CA4C71" w:rsidTr="00955D0F">
        <w:tc>
          <w:tcPr>
            <w:tcW w:w="0" w:type="auto"/>
            <w:vAlign w:val="center"/>
          </w:tcPr>
          <w:p w:rsidR="00457B9A" w:rsidRPr="00CA4C71" w:rsidRDefault="00457B9A" w:rsidP="00955D0F">
            <w:pPr>
              <w:rPr>
                <w:rFonts w:ascii="Times New Roman" w:hAnsi="Times New Roman"/>
                <w:sz w:val="23"/>
                <w:szCs w:val="23"/>
              </w:rPr>
            </w:pPr>
            <w:r w:rsidRPr="00CA4C71">
              <w:rPr>
                <w:rFonts w:ascii="Times New Roman" w:hAnsi="Times New Roman"/>
                <w:sz w:val="23"/>
                <w:szCs w:val="23"/>
              </w:rPr>
              <w:t>Financial Statement Integrity</w:t>
            </w:r>
          </w:p>
          <w:p w:rsidR="00457B9A" w:rsidRPr="00CA4C71" w:rsidRDefault="00457B9A" w:rsidP="00955D0F">
            <w:pPr>
              <w:rPr>
                <w:rFonts w:ascii="Times New Roman" w:hAnsi="Times New Roman"/>
                <w:sz w:val="23"/>
                <w:szCs w:val="23"/>
              </w:rPr>
            </w:pPr>
          </w:p>
        </w:tc>
        <w:tc>
          <w:tcPr>
            <w:tcW w:w="0" w:type="auto"/>
            <w:vAlign w:val="center"/>
          </w:tcPr>
          <w:p w:rsidR="00457B9A" w:rsidRPr="00CA4C71" w:rsidRDefault="00457B9A" w:rsidP="00CA4C71">
            <w:pPr>
              <w:jc w:val="left"/>
              <w:rPr>
                <w:rFonts w:ascii="Times New Roman" w:hAnsi="Times New Roman"/>
                <w:sz w:val="23"/>
                <w:szCs w:val="23"/>
              </w:rPr>
            </w:pPr>
            <w:r w:rsidRPr="00CA4C71">
              <w:rPr>
                <w:rFonts w:ascii="Times New Roman" w:hAnsi="Times New Roman"/>
                <w:sz w:val="23"/>
                <w:szCs w:val="23"/>
              </w:rPr>
              <w:t>The extent to which financial reports are presented honestly without manipulation by management.</w:t>
            </w:r>
          </w:p>
        </w:tc>
        <w:tc>
          <w:tcPr>
            <w:tcW w:w="0" w:type="auto"/>
            <w:vAlign w:val="center"/>
          </w:tcPr>
          <w:p w:rsidR="00457B9A" w:rsidRPr="00CA4C71" w:rsidRDefault="00457B9A" w:rsidP="00955D0F">
            <w:pPr>
              <w:rPr>
                <w:rFonts w:ascii="Times New Roman" w:hAnsi="Times New Roman"/>
                <w:sz w:val="23"/>
                <w:szCs w:val="23"/>
              </w:rPr>
            </w:pPr>
            <m:oMathPara>
              <m:oMath>
                <m:r>
                  <w:rPr>
                    <w:rFonts w:ascii="Cambria Math" w:hAnsi="Cambria Math"/>
                    <w:sz w:val="23"/>
                    <w:szCs w:val="23"/>
                  </w:rPr>
                  <m:t xml:space="preserve">MBV= </m:t>
                </m:r>
                <m:f>
                  <m:fPr>
                    <m:ctrlPr>
                      <w:rPr>
                        <w:rFonts w:ascii="Cambria Math" w:hAnsi="Cambria Math"/>
                        <w:bCs/>
                        <w:i/>
                        <w:sz w:val="23"/>
                        <w:szCs w:val="23"/>
                      </w:rPr>
                    </m:ctrlPr>
                  </m:fPr>
                  <m:num>
                    <m:r>
                      <w:rPr>
                        <w:rFonts w:ascii="Cambria Math" w:hAnsi="Cambria Math"/>
                        <w:sz w:val="23"/>
                        <w:szCs w:val="23"/>
                      </w:rPr>
                      <m:t>Market Value of Shares</m:t>
                    </m:r>
                  </m:num>
                  <m:den>
                    <m:r>
                      <w:rPr>
                        <w:rFonts w:ascii="Cambria Math" w:hAnsi="Cambria Math"/>
                        <w:sz w:val="23"/>
                        <w:szCs w:val="23"/>
                      </w:rPr>
                      <m:t>Book Value of Shares</m:t>
                    </m:r>
                  </m:den>
                </m:f>
              </m:oMath>
            </m:oMathPara>
          </w:p>
        </w:tc>
        <w:tc>
          <w:tcPr>
            <w:tcW w:w="0" w:type="auto"/>
            <w:vAlign w:val="center"/>
          </w:tcPr>
          <w:p w:rsidR="00457B9A" w:rsidRPr="00CA4C71" w:rsidRDefault="00457B9A" w:rsidP="00955D0F">
            <w:pPr>
              <w:rPr>
                <w:rFonts w:ascii="Times New Roman" w:hAnsi="Times New Roman"/>
                <w:sz w:val="23"/>
                <w:szCs w:val="23"/>
              </w:rPr>
            </w:pPr>
            <w:r w:rsidRPr="00CA4C71">
              <w:rPr>
                <w:rFonts w:ascii="Times New Roman" w:hAnsi="Times New Roman"/>
                <w:sz w:val="23"/>
                <w:szCs w:val="23"/>
              </w:rPr>
              <w:t>Nominal</w:t>
            </w:r>
          </w:p>
        </w:tc>
      </w:tr>
      <w:tr w:rsidR="00457B9A" w:rsidRPr="00CA4C71" w:rsidTr="00955D0F">
        <w:tc>
          <w:tcPr>
            <w:tcW w:w="0" w:type="auto"/>
            <w:vAlign w:val="center"/>
          </w:tcPr>
          <w:p w:rsidR="00457B9A" w:rsidRPr="00CA4C71" w:rsidRDefault="00457B9A" w:rsidP="00955D0F">
            <w:pPr>
              <w:rPr>
                <w:rFonts w:ascii="Times New Roman" w:hAnsi="Times New Roman"/>
                <w:sz w:val="23"/>
                <w:szCs w:val="23"/>
              </w:rPr>
            </w:pPr>
            <w:r w:rsidRPr="00CA4C71">
              <w:rPr>
                <w:rFonts w:ascii="Times New Roman" w:hAnsi="Times New Roman"/>
                <w:sz w:val="23"/>
                <w:szCs w:val="23"/>
              </w:rPr>
              <w:t>CEO Duality</w:t>
            </w:r>
          </w:p>
          <w:p w:rsidR="00457B9A" w:rsidRPr="00CA4C71" w:rsidRDefault="00457B9A" w:rsidP="00955D0F">
            <w:pPr>
              <w:rPr>
                <w:rFonts w:ascii="Times New Roman" w:hAnsi="Times New Roman"/>
                <w:sz w:val="23"/>
                <w:szCs w:val="23"/>
              </w:rPr>
            </w:pPr>
          </w:p>
        </w:tc>
        <w:tc>
          <w:tcPr>
            <w:tcW w:w="0" w:type="auto"/>
            <w:vAlign w:val="center"/>
          </w:tcPr>
          <w:p w:rsidR="00457B9A" w:rsidRPr="00CA4C71" w:rsidRDefault="00457B9A" w:rsidP="00CA4C71">
            <w:pPr>
              <w:jc w:val="left"/>
              <w:rPr>
                <w:rFonts w:ascii="Times New Roman" w:hAnsi="Times New Roman"/>
                <w:sz w:val="23"/>
                <w:szCs w:val="23"/>
              </w:rPr>
            </w:pPr>
            <w:r w:rsidRPr="00CA4C71">
              <w:rPr>
                <w:rFonts w:ascii="Times New Roman" w:hAnsi="Times New Roman"/>
                <w:sz w:val="23"/>
                <w:szCs w:val="23"/>
              </w:rPr>
              <w:t>A situation where the chief executive officer (CEO) also serves as the chief commissioner, thereby reducing the independence of the board in its supervisory function.</w:t>
            </w:r>
          </w:p>
        </w:tc>
        <w:tc>
          <w:tcPr>
            <w:tcW w:w="0" w:type="auto"/>
            <w:vAlign w:val="center"/>
          </w:tcPr>
          <w:p w:rsidR="00457B9A" w:rsidRPr="00CA4C71" w:rsidRDefault="00457B9A" w:rsidP="00955D0F">
            <w:pPr>
              <w:rPr>
                <w:rFonts w:ascii="Times New Roman" w:hAnsi="Times New Roman"/>
                <w:sz w:val="23"/>
                <w:szCs w:val="23"/>
              </w:rPr>
            </w:pPr>
            <w:r w:rsidRPr="00CA4C71">
              <w:rPr>
                <w:rFonts w:ascii="Times New Roman" w:hAnsi="Times New Roman"/>
                <w:sz w:val="23"/>
                <w:szCs w:val="23"/>
              </w:rPr>
              <w:t>Dummy variable, if the CEO holds a dual position, it is coded as 1, otherwise it is coded as 0.</w:t>
            </w:r>
          </w:p>
        </w:tc>
        <w:tc>
          <w:tcPr>
            <w:tcW w:w="0" w:type="auto"/>
            <w:vAlign w:val="center"/>
          </w:tcPr>
          <w:p w:rsidR="00457B9A" w:rsidRPr="00CA4C71" w:rsidRDefault="00457B9A" w:rsidP="00955D0F">
            <w:pPr>
              <w:rPr>
                <w:rFonts w:ascii="Times New Roman" w:hAnsi="Times New Roman"/>
                <w:sz w:val="23"/>
                <w:szCs w:val="23"/>
              </w:rPr>
            </w:pPr>
            <w:r w:rsidRPr="00CA4C71">
              <w:rPr>
                <w:rFonts w:ascii="Times New Roman" w:hAnsi="Times New Roman"/>
                <w:sz w:val="23"/>
                <w:szCs w:val="23"/>
              </w:rPr>
              <w:t>Ratio</w:t>
            </w:r>
          </w:p>
        </w:tc>
      </w:tr>
      <w:tr w:rsidR="00457B9A" w:rsidRPr="00CA4C71" w:rsidTr="00955D0F">
        <w:tc>
          <w:tcPr>
            <w:tcW w:w="0" w:type="auto"/>
            <w:vAlign w:val="center"/>
          </w:tcPr>
          <w:p w:rsidR="00457B9A" w:rsidRPr="00CA4C71" w:rsidRDefault="00457B9A" w:rsidP="00955D0F">
            <w:pPr>
              <w:rPr>
                <w:rFonts w:ascii="Times New Roman" w:hAnsi="Times New Roman"/>
                <w:sz w:val="23"/>
                <w:szCs w:val="23"/>
              </w:rPr>
            </w:pPr>
            <w:r w:rsidRPr="00CA4C71">
              <w:rPr>
                <w:rFonts w:ascii="Times New Roman" w:hAnsi="Times New Roman"/>
                <w:sz w:val="23"/>
                <w:szCs w:val="23"/>
              </w:rPr>
              <w:t>Audit Tenure</w:t>
            </w:r>
          </w:p>
          <w:p w:rsidR="00457B9A" w:rsidRPr="00CA4C71" w:rsidRDefault="00457B9A" w:rsidP="00955D0F">
            <w:pPr>
              <w:rPr>
                <w:rFonts w:ascii="Times New Roman" w:hAnsi="Times New Roman"/>
                <w:sz w:val="23"/>
                <w:szCs w:val="23"/>
              </w:rPr>
            </w:pPr>
          </w:p>
        </w:tc>
        <w:tc>
          <w:tcPr>
            <w:tcW w:w="0" w:type="auto"/>
            <w:vAlign w:val="center"/>
          </w:tcPr>
          <w:p w:rsidR="00457B9A" w:rsidRPr="00CA4C71" w:rsidRDefault="00457B9A" w:rsidP="00CA4C71">
            <w:pPr>
              <w:jc w:val="left"/>
              <w:rPr>
                <w:rFonts w:ascii="Times New Roman" w:hAnsi="Times New Roman"/>
                <w:sz w:val="23"/>
                <w:szCs w:val="23"/>
              </w:rPr>
            </w:pPr>
            <w:r w:rsidRPr="00CA4C71">
              <w:rPr>
                <w:rFonts w:ascii="Times New Roman" w:hAnsi="Times New Roman"/>
                <w:sz w:val="23"/>
                <w:szCs w:val="23"/>
              </w:rPr>
              <w:t>The length of time that external auditors have worked with a client company consecutively.</w:t>
            </w:r>
          </w:p>
        </w:tc>
        <w:tc>
          <w:tcPr>
            <w:tcW w:w="0" w:type="auto"/>
            <w:vAlign w:val="center"/>
          </w:tcPr>
          <w:p w:rsidR="00457B9A" w:rsidRPr="00CA4C71" w:rsidRDefault="00457B9A" w:rsidP="00955D0F">
            <w:pPr>
              <w:rPr>
                <w:rFonts w:ascii="Times New Roman" w:hAnsi="Times New Roman"/>
                <w:sz w:val="23"/>
                <w:szCs w:val="23"/>
              </w:rPr>
            </w:pPr>
            <w:r w:rsidRPr="00CA4C71">
              <w:rPr>
                <w:rFonts w:ascii="Times New Roman" w:hAnsi="Times New Roman"/>
                <w:sz w:val="23"/>
                <w:szCs w:val="23"/>
              </w:rPr>
              <w:t>The number of years the KAP has conducted an audit engagement with the auditee, starting from 1 and increasing by 1 for each subsequent year.</w:t>
            </w:r>
          </w:p>
        </w:tc>
        <w:tc>
          <w:tcPr>
            <w:tcW w:w="0" w:type="auto"/>
            <w:vAlign w:val="center"/>
          </w:tcPr>
          <w:p w:rsidR="00457B9A" w:rsidRPr="00CA4C71" w:rsidRDefault="00457B9A" w:rsidP="00955D0F">
            <w:pPr>
              <w:rPr>
                <w:rFonts w:ascii="Times New Roman" w:hAnsi="Times New Roman"/>
                <w:sz w:val="23"/>
                <w:szCs w:val="23"/>
              </w:rPr>
            </w:pPr>
            <w:r w:rsidRPr="00CA4C71">
              <w:rPr>
                <w:rFonts w:ascii="Times New Roman" w:hAnsi="Times New Roman"/>
                <w:sz w:val="23"/>
                <w:szCs w:val="23"/>
              </w:rPr>
              <w:t>Ratio</w:t>
            </w:r>
          </w:p>
        </w:tc>
      </w:tr>
      <w:tr w:rsidR="00457B9A" w:rsidRPr="00CA4C71" w:rsidTr="00955D0F">
        <w:tc>
          <w:tcPr>
            <w:tcW w:w="0" w:type="auto"/>
            <w:vAlign w:val="center"/>
          </w:tcPr>
          <w:p w:rsidR="00457B9A" w:rsidRPr="00CA4C71" w:rsidRDefault="00457B9A" w:rsidP="00955D0F">
            <w:pPr>
              <w:rPr>
                <w:rFonts w:ascii="Times New Roman" w:hAnsi="Times New Roman"/>
                <w:sz w:val="23"/>
                <w:szCs w:val="23"/>
              </w:rPr>
            </w:pPr>
            <w:r w:rsidRPr="00CA4C71">
              <w:rPr>
                <w:rFonts w:ascii="Times New Roman" w:hAnsi="Times New Roman"/>
                <w:sz w:val="23"/>
                <w:szCs w:val="23"/>
              </w:rPr>
              <w:t>Firm Complexity</w:t>
            </w:r>
          </w:p>
          <w:p w:rsidR="00457B9A" w:rsidRPr="00CA4C71" w:rsidRDefault="00457B9A" w:rsidP="00955D0F">
            <w:pPr>
              <w:rPr>
                <w:rFonts w:ascii="Times New Roman" w:hAnsi="Times New Roman"/>
                <w:sz w:val="23"/>
                <w:szCs w:val="23"/>
              </w:rPr>
            </w:pPr>
          </w:p>
        </w:tc>
        <w:tc>
          <w:tcPr>
            <w:tcW w:w="0" w:type="auto"/>
            <w:vAlign w:val="center"/>
          </w:tcPr>
          <w:p w:rsidR="00457B9A" w:rsidRPr="00CA4C71" w:rsidRDefault="00457B9A" w:rsidP="00CA4C71">
            <w:pPr>
              <w:jc w:val="left"/>
              <w:rPr>
                <w:rFonts w:ascii="Times New Roman" w:hAnsi="Times New Roman"/>
                <w:sz w:val="23"/>
                <w:szCs w:val="23"/>
              </w:rPr>
            </w:pPr>
            <w:r w:rsidRPr="00CA4C71">
              <w:rPr>
                <w:rFonts w:ascii="Times New Roman" w:hAnsi="Times New Roman"/>
                <w:sz w:val="23"/>
                <w:szCs w:val="23"/>
              </w:rPr>
              <w:t>The level of complexity of the company's operational activities that can affect the financial reporting process.</w:t>
            </w:r>
          </w:p>
        </w:tc>
        <w:tc>
          <w:tcPr>
            <w:tcW w:w="0" w:type="auto"/>
            <w:vAlign w:val="center"/>
          </w:tcPr>
          <w:p w:rsidR="00457B9A" w:rsidRPr="00CA4C71" w:rsidRDefault="00457B9A" w:rsidP="00955D0F">
            <w:pPr>
              <w:rPr>
                <w:rFonts w:ascii="Times New Roman" w:hAnsi="Times New Roman"/>
                <w:sz w:val="23"/>
                <w:szCs w:val="23"/>
              </w:rPr>
            </w:pPr>
            <m:oMathPara>
              <m:oMath>
                <m:r>
                  <w:rPr>
                    <w:rFonts w:ascii="Cambria Math" w:hAnsi="Cambria Math"/>
                    <w:sz w:val="23"/>
                    <w:szCs w:val="23"/>
                  </w:rPr>
                  <m:t>Firm Complexity = Ln(Number of Subsidiaries)</m:t>
                </m:r>
              </m:oMath>
            </m:oMathPara>
          </w:p>
        </w:tc>
        <w:tc>
          <w:tcPr>
            <w:tcW w:w="0" w:type="auto"/>
            <w:vAlign w:val="center"/>
          </w:tcPr>
          <w:p w:rsidR="00457B9A" w:rsidRPr="00CA4C71" w:rsidRDefault="00457B9A" w:rsidP="00955D0F">
            <w:pPr>
              <w:rPr>
                <w:rFonts w:ascii="Times New Roman" w:hAnsi="Times New Roman"/>
                <w:sz w:val="23"/>
                <w:szCs w:val="23"/>
              </w:rPr>
            </w:pPr>
            <w:r w:rsidRPr="00CA4C71">
              <w:rPr>
                <w:rFonts w:ascii="Times New Roman" w:hAnsi="Times New Roman"/>
                <w:sz w:val="23"/>
                <w:szCs w:val="23"/>
              </w:rPr>
              <w:t>Ratio</w:t>
            </w:r>
          </w:p>
        </w:tc>
      </w:tr>
      <w:tr w:rsidR="00457B9A" w:rsidRPr="00CA4C71" w:rsidTr="00955D0F">
        <w:tc>
          <w:tcPr>
            <w:tcW w:w="0" w:type="auto"/>
            <w:vAlign w:val="center"/>
          </w:tcPr>
          <w:p w:rsidR="00457B9A" w:rsidRPr="00CA4C71" w:rsidRDefault="00457B9A" w:rsidP="00955D0F">
            <w:pPr>
              <w:rPr>
                <w:rFonts w:ascii="Times New Roman" w:hAnsi="Times New Roman"/>
                <w:sz w:val="23"/>
                <w:szCs w:val="23"/>
              </w:rPr>
            </w:pPr>
            <w:r w:rsidRPr="00CA4C71">
              <w:rPr>
                <w:rFonts w:ascii="Times New Roman" w:hAnsi="Times New Roman"/>
                <w:sz w:val="23"/>
                <w:szCs w:val="23"/>
              </w:rPr>
              <w:t>Firm Risk</w:t>
            </w:r>
          </w:p>
          <w:p w:rsidR="00457B9A" w:rsidRPr="00CA4C71" w:rsidRDefault="00457B9A" w:rsidP="00955D0F">
            <w:pPr>
              <w:rPr>
                <w:rFonts w:ascii="Times New Roman" w:hAnsi="Times New Roman"/>
                <w:sz w:val="23"/>
                <w:szCs w:val="23"/>
              </w:rPr>
            </w:pPr>
          </w:p>
        </w:tc>
        <w:tc>
          <w:tcPr>
            <w:tcW w:w="0" w:type="auto"/>
            <w:vAlign w:val="center"/>
          </w:tcPr>
          <w:p w:rsidR="00457B9A" w:rsidRPr="00CA4C71" w:rsidRDefault="00457B9A" w:rsidP="00CA4C71">
            <w:pPr>
              <w:jc w:val="left"/>
              <w:rPr>
                <w:rFonts w:ascii="Times New Roman" w:hAnsi="Times New Roman"/>
                <w:sz w:val="23"/>
                <w:szCs w:val="23"/>
              </w:rPr>
            </w:pPr>
            <w:r w:rsidRPr="00CA4C71">
              <w:rPr>
                <w:rFonts w:ascii="Times New Roman" w:hAnsi="Times New Roman"/>
                <w:sz w:val="23"/>
                <w:szCs w:val="23"/>
              </w:rPr>
              <w:t>The possibility of uncertainty regarding the results obtained by the company as reflected in its funding.</w:t>
            </w:r>
          </w:p>
        </w:tc>
        <w:tc>
          <w:tcPr>
            <w:tcW w:w="0" w:type="auto"/>
            <w:vAlign w:val="center"/>
          </w:tcPr>
          <w:p w:rsidR="00457B9A" w:rsidRPr="00CA4C71" w:rsidRDefault="00457B9A" w:rsidP="00955D0F">
            <w:pPr>
              <w:rPr>
                <w:rFonts w:ascii="Times New Roman" w:hAnsi="Times New Roman"/>
                <w:sz w:val="23"/>
                <w:szCs w:val="23"/>
              </w:rPr>
            </w:pPr>
            <m:oMathPara>
              <m:oMath>
                <m:r>
                  <w:rPr>
                    <w:rFonts w:ascii="Cambria Math" w:hAnsi="Cambria Math"/>
                    <w:sz w:val="23"/>
                    <w:szCs w:val="23"/>
                  </w:rPr>
                  <m:t xml:space="preserve">DER= </m:t>
                </m:r>
                <m:f>
                  <m:fPr>
                    <m:ctrlPr>
                      <w:rPr>
                        <w:rFonts w:ascii="Cambria Math" w:hAnsi="Cambria Math"/>
                        <w:i/>
                        <w:sz w:val="23"/>
                        <w:szCs w:val="23"/>
                      </w:rPr>
                    </m:ctrlPr>
                  </m:fPr>
                  <m:num>
                    <m:r>
                      <w:rPr>
                        <w:rFonts w:ascii="Cambria Math" w:hAnsi="Cambria Math"/>
                        <w:sz w:val="23"/>
                        <w:szCs w:val="23"/>
                      </w:rPr>
                      <m:t>Total Liabilities</m:t>
                    </m:r>
                  </m:num>
                  <m:den>
                    <m:r>
                      <w:rPr>
                        <w:rFonts w:ascii="Cambria Math" w:hAnsi="Cambria Math"/>
                        <w:sz w:val="23"/>
                        <w:szCs w:val="23"/>
                      </w:rPr>
                      <m:t>Total Equity</m:t>
                    </m:r>
                  </m:den>
                </m:f>
              </m:oMath>
            </m:oMathPara>
          </w:p>
        </w:tc>
        <w:tc>
          <w:tcPr>
            <w:tcW w:w="0" w:type="auto"/>
            <w:vAlign w:val="center"/>
          </w:tcPr>
          <w:p w:rsidR="00457B9A" w:rsidRPr="00CA4C71" w:rsidRDefault="00457B9A" w:rsidP="00955D0F">
            <w:pPr>
              <w:rPr>
                <w:rFonts w:ascii="Times New Roman" w:hAnsi="Times New Roman"/>
                <w:sz w:val="23"/>
                <w:szCs w:val="23"/>
              </w:rPr>
            </w:pPr>
            <w:r w:rsidRPr="00CA4C71">
              <w:rPr>
                <w:rFonts w:ascii="Times New Roman" w:hAnsi="Times New Roman"/>
                <w:sz w:val="23"/>
                <w:szCs w:val="23"/>
              </w:rPr>
              <w:t>Ratio</w:t>
            </w:r>
          </w:p>
        </w:tc>
      </w:tr>
    </w:tbl>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Source: Various sources adapted for this research</w:t>
      </w:r>
    </w:p>
    <w:p w:rsidR="00457B9A" w:rsidRPr="0005135E" w:rsidRDefault="00457B9A" w:rsidP="00457B9A">
      <w:pPr>
        <w:jc w:val="both"/>
        <w:rPr>
          <w:rFonts w:ascii="Times New Roman" w:eastAsia="Times New Roman" w:hAnsi="Times New Roman"/>
          <w:sz w:val="24"/>
          <w:szCs w:val="24"/>
        </w:rPr>
      </w:pPr>
    </w:p>
    <w:p w:rsidR="00457B9A" w:rsidRPr="0005135E" w:rsidRDefault="006D77AE" w:rsidP="00457B9A">
      <w:pPr>
        <w:pStyle w:val="Heading3"/>
        <w:numPr>
          <w:ilvl w:val="0"/>
          <w:numId w:val="1"/>
        </w:numPr>
        <w:spacing w:line="240" w:lineRule="auto"/>
        <w:ind w:left="284" w:hanging="284"/>
        <w:jc w:val="both"/>
        <w:rPr>
          <w:rFonts w:ascii="Times New Roman" w:eastAsia="Times New Roman" w:hAnsi="Times New Roman"/>
          <w:lang w:val="en-US"/>
        </w:rPr>
      </w:pPr>
      <w:bookmarkStart w:id="0" w:name="_heading=h.au377i638xye" w:colFirst="0" w:colLast="0"/>
      <w:bookmarkEnd w:id="0"/>
      <w:r w:rsidRPr="0005135E">
        <w:rPr>
          <w:rFonts w:ascii="Times New Roman" w:eastAsia="Times New Roman" w:hAnsi="Times New Roman"/>
          <w:caps w:val="0"/>
          <w:lang w:val="en-US"/>
        </w:rPr>
        <w:t xml:space="preserve">Results And Discussion </w:t>
      </w:r>
    </w:p>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4.1 Descriptive Statistical Analysis</w:t>
      </w:r>
    </w:p>
    <w:p w:rsidR="00457B9A" w:rsidRPr="0005135E" w:rsidRDefault="00457B9A" w:rsidP="00457B9A">
      <w:pPr>
        <w:pStyle w:val="Caption"/>
        <w:keepNext/>
        <w:spacing w:after="0"/>
        <w:jc w:val="both"/>
        <w:rPr>
          <w:rFonts w:ascii="Times New Roman" w:hAnsi="Times New Roman"/>
          <w:i w:val="0"/>
          <w:color w:val="auto"/>
          <w:sz w:val="24"/>
        </w:rPr>
      </w:pPr>
      <w:r w:rsidRPr="0005135E">
        <w:rPr>
          <w:rFonts w:ascii="Times New Roman" w:hAnsi="Times New Roman"/>
          <w:b/>
          <w:i w:val="0"/>
          <w:color w:val="auto"/>
          <w:sz w:val="24"/>
        </w:rPr>
        <w:t xml:space="preserve">Table </w:t>
      </w:r>
      <w:r w:rsidRPr="0005135E">
        <w:rPr>
          <w:rFonts w:ascii="Times New Roman" w:hAnsi="Times New Roman"/>
          <w:b/>
          <w:i w:val="0"/>
          <w:color w:val="auto"/>
          <w:sz w:val="24"/>
        </w:rPr>
        <w:fldChar w:fldCharType="begin"/>
      </w:r>
      <w:r w:rsidRPr="0005135E">
        <w:rPr>
          <w:rFonts w:ascii="Times New Roman" w:hAnsi="Times New Roman"/>
          <w:b/>
          <w:i w:val="0"/>
          <w:color w:val="auto"/>
          <w:sz w:val="24"/>
        </w:rPr>
        <w:instrText xml:space="preserve"> SEQ Table \* ARABIC </w:instrText>
      </w:r>
      <w:r w:rsidRPr="0005135E">
        <w:rPr>
          <w:rFonts w:ascii="Times New Roman" w:hAnsi="Times New Roman"/>
          <w:b/>
          <w:i w:val="0"/>
          <w:color w:val="auto"/>
          <w:sz w:val="24"/>
        </w:rPr>
        <w:fldChar w:fldCharType="separate"/>
      </w:r>
      <w:r w:rsidR="00F12617">
        <w:rPr>
          <w:rFonts w:ascii="Times New Roman" w:hAnsi="Times New Roman"/>
          <w:b/>
          <w:i w:val="0"/>
          <w:noProof/>
          <w:color w:val="auto"/>
          <w:sz w:val="24"/>
        </w:rPr>
        <w:t>2</w:t>
      </w:r>
      <w:r w:rsidRPr="0005135E">
        <w:rPr>
          <w:rFonts w:ascii="Times New Roman" w:hAnsi="Times New Roman"/>
          <w:b/>
          <w:i w:val="0"/>
          <w:color w:val="auto"/>
          <w:sz w:val="24"/>
        </w:rPr>
        <w:fldChar w:fldCharType="end"/>
      </w:r>
      <w:r w:rsidRPr="0005135E">
        <w:rPr>
          <w:rFonts w:ascii="Times New Roman" w:hAnsi="Times New Roman"/>
          <w:b/>
          <w:i w:val="0"/>
          <w:color w:val="auto"/>
          <w:sz w:val="24"/>
        </w:rPr>
        <w:t>.</w:t>
      </w:r>
      <w:r w:rsidRPr="0005135E">
        <w:rPr>
          <w:rFonts w:ascii="Times New Roman" w:hAnsi="Times New Roman"/>
          <w:i w:val="0"/>
          <w:color w:val="auto"/>
          <w:sz w:val="24"/>
        </w:rPr>
        <w:t xml:space="preserve"> Descriptive Statistical Test Results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791"/>
        <w:gridCol w:w="1019"/>
        <w:gridCol w:w="1189"/>
        <w:gridCol w:w="1529"/>
        <w:gridCol w:w="1395"/>
        <w:gridCol w:w="1402"/>
      </w:tblGrid>
      <w:tr w:rsidR="00457B9A" w:rsidRPr="0005135E" w:rsidTr="00CA4C71">
        <w:trPr>
          <w:trHeight w:val="315"/>
        </w:trPr>
        <w:tc>
          <w:tcPr>
            <w:tcW w:w="688" w:type="pct"/>
            <w:shd w:val="clear" w:color="auto" w:fill="BFBFBF" w:themeFill="background1" w:themeFillShade="BF"/>
            <w:noWrap/>
            <w:vAlign w:val="center"/>
            <w:hideMark/>
          </w:tcPr>
          <w:p w:rsidR="00457B9A" w:rsidRPr="0005135E" w:rsidRDefault="00457B9A" w:rsidP="00955D0F">
            <w:pPr>
              <w:rPr>
                <w:rFonts w:ascii="Times New Roman" w:eastAsia="Times New Roman" w:hAnsi="Times New Roman"/>
                <w:b/>
                <w:bCs/>
                <w:color w:val="000000"/>
                <w:sz w:val="24"/>
                <w:szCs w:val="20"/>
              </w:rPr>
            </w:pPr>
            <w:bookmarkStart w:id="1" w:name="RANGE!B3"/>
            <w:bookmarkStart w:id="2" w:name="_Hlk218899001" w:colFirst="1" w:colLast="6"/>
            <w:r w:rsidRPr="0005135E">
              <w:rPr>
                <w:rFonts w:ascii="Times New Roman" w:eastAsia="Times New Roman" w:hAnsi="Times New Roman"/>
                <w:b/>
                <w:bCs/>
                <w:color w:val="000000"/>
                <w:sz w:val="24"/>
                <w:szCs w:val="20"/>
              </w:rPr>
              <w:t> </w:t>
            </w:r>
            <w:bookmarkEnd w:id="1"/>
            <w:r w:rsidRPr="0005135E">
              <w:rPr>
                <w:rFonts w:ascii="Times New Roman" w:eastAsia="Times New Roman" w:hAnsi="Times New Roman"/>
                <w:b/>
                <w:bCs/>
                <w:color w:val="000000"/>
                <w:sz w:val="24"/>
                <w:szCs w:val="20"/>
              </w:rPr>
              <w:t>Variable</w:t>
            </w:r>
          </w:p>
        </w:tc>
        <w:tc>
          <w:tcPr>
            <w:tcW w:w="466" w:type="pct"/>
            <w:shd w:val="clear" w:color="auto" w:fill="BFBFBF" w:themeFill="background1" w:themeFillShade="BF"/>
            <w:vAlign w:val="center"/>
            <w:hideMark/>
          </w:tcPr>
          <w:p w:rsidR="00457B9A" w:rsidRPr="0005135E" w:rsidRDefault="00457B9A" w:rsidP="00955D0F">
            <w:pPr>
              <w:rPr>
                <w:rFonts w:ascii="Times New Roman" w:eastAsia="Times New Roman" w:hAnsi="Times New Roman"/>
                <w:b/>
                <w:bCs/>
                <w:color w:val="000000"/>
                <w:sz w:val="24"/>
                <w:szCs w:val="20"/>
              </w:rPr>
            </w:pPr>
            <w:r w:rsidRPr="0005135E">
              <w:rPr>
                <w:rFonts w:ascii="Times New Roman" w:eastAsia="Times New Roman" w:hAnsi="Times New Roman"/>
                <w:b/>
                <w:bCs/>
                <w:color w:val="000000"/>
                <w:sz w:val="24"/>
                <w:szCs w:val="20"/>
              </w:rPr>
              <w:t>N</w:t>
            </w:r>
          </w:p>
        </w:tc>
        <w:tc>
          <w:tcPr>
            <w:tcW w:w="600" w:type="pct"/>
            <w:shd w:val="clear" w:color="auto" w:fill="BFBFBF" w:themeFill="background1" w:themeFillShade="BF"/>
            <w:vAlign w:val="center"/>
            <w:hideMark/>
          </w:tcPr>
          <w:p w:rsidR="00457B9A" w:rsidRPr="0005135E" w:rsidRDefault="00457B9A" w:rsidP="00955D0F">
            <w:pPr>
              <w:rPr>
                <w:rFonts w:ascii="Times New Roman" w:eastAsia="Times New Roman" w:hAnsi="Times New Roman"/>
                <w:b/>
                <w:bCs/>
                <w:color w:val="000000"/>
                <w:sz w:val="24"/>
                <w:szCs w:val="20"/>
              </w:rPr>
            </w:pPr>
            <w:r w:rsidRPr="0005135E">
              <w:rPr>
                <w:rFonts w:ascii="Times New Roman" w:eastAsia="Times New Roman" w:hAnsi="Times New Roman"/>
                <w:b/>
                <w:bCs/>
                <w:color w:val="000000"/>
                <w:sz w:val="24"/>
                <w:szCs w:val="20"/>
              </w:rPr>
              <w:t>Mean</w:t>
            </w:r>
          </w:p>
        </w:tc>
        <w:tc>
          <w:tcPr>
            <w:tcW w:w="700" w:type="pct"/>
            <w:shd w:val="clear" w:color="auto" w:fill="BFBFBF" w:themeFill="background1" w:themeFillShade="BF"/>
            <w:vAlign w:val="center"/>
            <w:hideMark/>
          </w:tcPr>
          <w:p w:rsidR="00457B9A" w:rsidRPr="0005135E" w:rsidRDefault="00457B9A" w:rsidP="00955D0F">
            <w:pPr>
              <w:rPr>
                <w:rFonts w:ascii="Times New Roman" w:eastAsia="Times New Roman" w:hAnsi="Times New Roman"/>
                <w:b/>
                <w:bCs/>
                <w:color w:val="000000"/>
                <w:sz w:val="24"/>
                <w:szCs w:val="20"/>
              </w:rPr>
            </w:pPr>
            <w:r w:rsidRPr="0005135E">
              <w:rPr>
                <w:rFonts w:ascii="Times New Roman" w:eastAsia="Times New Roman" w:hAnsi="Times New Roman"/>
                <w:b/>
                <w:bCs/>
                <w:color w:val="000000"/>
                <w:sz w:val="24"/>
                <w:szCs w:val="20"/>
              </w:rPr>
              <w:t>Median</w:t>
            </w:r>
          </w:p>
        </w:tc>
        <w:tc>
          <w:tcPr>
            <w:tcW w:w="900" w:type="pct"/>
            <w:shd w:val="clear" w:color="auto" w:fill="BFBFBF" w:themeFill="background1" w:themeFillShade="BF"/>
            <w:vAlign w:val="center"/>
            <w:hideMark/>
          </w:tcPr>
          <w:p w:rsidR="00457B9A" w:rsidRPr="0005135E" w:rsidRDefault="00457B9A" w:rsidP="00955D0F">
            <w:pPr>
              <w:rPr>
                <w:rFonts w:ascii="Times New Roman" w:eastAsia="Times New Roman" w:hAnsi="Times New Roman"/>
                <w:b/>
                <w:bCs/>
                <w:color w:val="000000"/>
                <w:sz w:val="24"/>
                <w:szCs w:val="20"/>
              </w:rPr>
            </w:pPr>
            <w:r w:rsidRPr="0005135E">
              <w:rPr>
                <w:rFonts w:ascii="Times New Roman" w:eastAsia="Times New Roman" w:hAnsi="Times New Roman"/>
                <w:b/>
                <w:bCs/>
                <w:color w:val="000000"/>
                <w:sz w:val="24"/>
                <w:szCs w:val="20"/>
              </w:rPr>
              <w:t>Maximum</w:t>
            </w:r>
          </w:p>
        </w:tc>
        <w:tc>
          <w:tcPr>
            <w:tcW w:w="821" w:type="pct"/>
            <w:shd w:val="clear" w:color="auto" w:fill="BFBFBF" w:themeFill="background1" w:themeFillShade="BF"/>
            <w:vAlign w:val="center"/>
            <w:hideMark/>
          </w:tcPr>
          <w:p w:rsidR="00457B9A" w:rsidRPr="0005135E" w:rsidRDefault="00457B9A" w:rsidP="00955D0F">
            <w:pPr>
              <w:rPr>
                <w:rFonts w:ascii="Times New Roman" w:eastAsia="Times New Roman" w:hAnsi="Times New Roman"/>
                <w:b/>
                <w:bCs/>
                <w:color w:val="000000"/>
                <w:sz w:val="24"/>
                <w:szCs w:val="20"/>
              </w:rPr>
            </w:pPr>
            <w:proofErr w:type="spellStart"/>
            <w:r w:rsidRPr="0005135E">
              <w:rPr>
                <w:rFonts w:ascii="Times New Roman" w:eastAsia="Times New Roman" w:hAnsi="Times New Roman"/>
                <w:b/>
                <w:bCs/>
                <w:color w:val="000000"/>
                <w:sz w:val="24"/>
                <w:szCs w:val="20"/>
              </w:rPr>
              <w:t>Mininum</w:t>
            </w:r>
            <w:proofErr w:type="spellEnd"/>
          </w:p>
        </w:tc>
        <w:tc>
          <w:tcPr>
            <w:tcW w:w="825" w:type="pct"/>
            <w:shd w:val="clear" w:color="auto" w:fill="BFBFBF" w:themeFill="background1" w:themeFillShade="BF"/>
            <w:vAlign w:val="center"/>
            <w:hideMark/>
          </w:tcPr>
          <w:p w:rsidR="00457B9A" w:rsidRPr="0005135E" w:rsidRDefault="00457B9A" w:rsidP="00955D0F">
            <w:pPr>
              <w:rPr>
                <w:rFonts w:ascii="Times New Roman" w:eastAsia="Times New Roman" w:hAnsi="Times New Roman"/>
                <w:b/>
                <w:bCs/>
                <w:color w:val="000000"/>
                <w:sz w:val="24"/>
                <w:szCs w:val="20"/>
              </w:rPr>
            </w:pPr>
            <w:r w:rsidRPr="0005135E">
              <w:rPr>
                <w:rFonts w:ascii="Times New Roman" w:eastAsia="Times New Roman" w:hAnsi="Times New Roman"/>
                <w:b/>
                <w:bCs/>
                <w:color w:val="000000"/>
                <w:sz w:val="24"/>
                <w:szCs w:val="20"/>
              </w:rPr>
              <w:t>Std. Dev.</w:t>
            </w:r>
          </w:p>
        </w:tc>
      </w:tr>
      <w:tr w:rsidR="00457B9A" w:rsidRPr="0005135E" w:rsidTr="00955D0F">
        <w:trPr>
          <w:trHeight w:val="300"/>
        </w:trPr>
        <w:tc>
          <w:tcPr>
            <w:tcW w:w="688" w:type="pct"/>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FSI</w:t>
            </w:r>
          </w:p>
        </w:tc>
        <w:tc>
          <w:tcPr>
            <w:tcW w:w="466" w:type="pct"/>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 240</w:t>
            </w:r>
          </w:p>
        </w:tc>
        <w:tc>
          <w:tcPr>
            <w:tcW w:w="600" w:type="pct"/>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 1.295</w:t>
            </w:r>
          </w:p>
        </w:tc>
        <w:tc>
          <w:tcPr>
            <w:tcW w:w="700" w:type="pct"/>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 0.549</w:t>
            </w:r>
          </w:p>
        </w:tc>
        <w:tc>
          <w:tcPr>
            <w:tcW w:w="900" w:type="pct"/>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 24.252</w:t>
            </w:r>
          </w:p>
        </w:tc>
        <w:tc>
          <w:tcPr>
            <w:tcW w:w="821" w:type="pct"/>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 0.067</w:t>
            </w:r>
          </w:p>
        </w:tc>
        <w:tc>
          <w:tcPr>
            <w:tcW w:w="825" w:type="pct"/>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 2.570</w:t>
            </w:r>
          </w:p>
        </w:tc>
      </w:tr>
      <w:tr w:rsidR="00457B9A" w:rsidRPr="0005135E" w:rsidTr="00955D0F">
        <w:trPr>
          <w:trHeight w:val="300"/>
        </w:trPr>
        <w:tc>
          <w:tcPr>
            <w:tcW w:w="688" w:type="pct"/>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CD</w:t>
            </w:r>
          </w:p>
        </w:tc>
        <w:tc>
          <w:tcPr>
            <w:tcW w:w="466" w:type="pct"/>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 240</w:t>
            </w:r>
          </w:p>
        </w:tc>
        <w:tc>
          <w:tcPr>
            <w:tcW w:w="600" w:type="pct"/>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 0.433</w:t>
            </w:r>
          </w:p>
        </w:tc>
        <w:tc>
          <w:tcPr>
            <w:tcW w:w="700" w:type="pct"/>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 0.000</w:t>
            </w:r>
          </w:p>
        </w:tc>
        <w:tc>
          <w:tcPr>
            <w:tcW w:w="900" w:type="pct"/>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 1.000</w:t>
            </w:r>
          </w:p>
        </w:tc>
        <w:tc>
          <w:tcPr>
            <w:tcW w:w="821" w:type="pct"/>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 0.000</w:t>
            </w:r>
          </w:p>
        </w:tc>
        <w:tc>
          <w:tcPr>
            <w:tcW w:w="825" w:type="pct"/>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 0.497</w:t>
            </w:r>
          </w:p>
        </w:tc>
      </w:tr>
      <w:tr w:rsidR="00457B9A" w:rsidRPr="0005135E" w:rsidTr="00955D0F">
        <w:trPr>
          <w:trHeight w:val="300"/>
        </w:trPr>
        <w:tc>
          <w:tcPr>
            <w:tcW w:w="688" w:type="pct"/>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AT</w:t>
            </w:r>
          </w:p>
        </w:tc>
        <w:tc>
          <w:tcPr>
            <w:tcW w:w="466" w:type="pct"/>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 240</w:t>
            </w:r>
          </w:p>
        </w:tc>
        <w:tc>
          <w:tcPr>
            <w:tcW w:w="600" w:type="pct"/>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 2.446</w:t>
            </w:r>
          </w:p>
        </w:tc>
        <w:tc>
          <w:tcPr>
            <w:tcW w:w="700" w:type="pct"/>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 2.000</w:t>
            </w:r>
          </w:p>
        </w:tc>
        <w:tc>
          <w:tcPr>
            <w:tcW w:w="900" w:type="pct"/>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 5.000</w:t>
            </w:r>
          </w:p>
        </w:tc>
        <w:tc>
          <w:tcPr>
            <w:tcW w:w="821" w:type="pct"/>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 1.000</w:t>
            </w:r>
          </w:p>
        </w:tc>
        <w:tc>
          <w:tcPr>
            <w:tcW w:w="825" w:type="pct"/>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 1.386</w:t>
            </w:r>
          </w:p>
        </w:tc>
      </w:tr>
      <w:tr w:rsidR="00457B9A" w:rsidRPr="0005135E" w:rsidTr="00955D0F">
        <w:trPr>
          <w:trHeight w:val="300"/>
        </w:trPr>
        <w:tc>
          <w:tcPr>
            <w:tcW w:w="688" w:type="pct"/>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FC</w:t>
            </w:r>
          </w:p>
        </w:tc>
        <w:tc>
          <w:tcPr>
            <w:tcW w:w="466" w:type="pct"/>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 240</w:t>
            </w:r>
          </w:p>
        </w:tc>
        <w:tc>
          <w:tcPr>
            <w:tcW w:w="600" w:type="pct"/>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 2.183</w:t>
            </w:r>
          </w:p>
        </w:tc>
        <w:tc>
          <w:tcPr>
            <w:tcW w:w="700" w:type="pct"/>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 2.079</w:t>
            </w:r>
          </w:p>
        </w:tc>
        <w:tc>
          <w:tcPr>
            <w:tcW w:w="900" w:type="pct"/>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 5.429</w:t>
            </w:r>
          </w:p>
        </w:tc>
        <w:tc>
          <w:tcPr>
            <w:tcW w:w="821" w:type="pct"/>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 0.000</w:t>
            </w:r>
          </w:p>
        </w:tc>
        <w:tc>
          <w:tcPr>
            <w:tcW w:w="825" w:type="pct"/>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 1.419</w:t>
            </w:r>
          </w:p>
        </w:tc>
      </w:tr>
      <w:tr w:rsidR="00457B9A" w:rsidRPr="0005135E" w:rsidTr="00955D0F">
        <w:trPr>
          <w:trHeight w:val="315"/>
        </w:trPr>
        <w:tc>
          <w:tcPr>
            <w:tcW w:w="688" w:type="pct"/>
            <w:noWrap/>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FR</w:t>
            </w:r>
          </w:p>
        </w:tc>
        <w:tc>
          <w:tcPr>
            <w:tcW w:w="466" w:type="pct"/>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 240</w:t>
            </w:r>
          </w:p>
        </w:tc>
        <w:tc>
          <w:tcPr>
            <w:tcW w:w="600" w:type="pct"/>
            <w:noWrap/>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 xml:space="preserve"> 0.861</w:t>
            </w:r>
          </w:p>
        </w:tc>
        <w:tc>
          <w:tcPr>
            <w:tcW w:w="700" w:type="pct"/>
            <w:noWrap/>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 xml:space="preserve"> 0.432</w:t>
            </w:r>
          </w:p>
        </w:tc>
        <w:tc>
          <w:tcPr>
            <w:tcW w:w="900" w:type="pct"/>
            <w:noWrap/>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2.436</w:t>
            </w:r>
          </w:p>
        </w:tc>
        <w:tc>
          <w:tcPr>
            <w:tcW w:w="821" w:type="pct"/>
            <w:noWrap/>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 xml:space="preserve"> 0.009</w:t>
            </w:r>
          </w:p>
        </w:tc>
        <w:tc>
          <w:tcPr>
            <w:tcW w:w="825" w:type="pct"/>
            <w:noWrap/>
            <w:vAlign w:val="center"/>
            <w:hideMark/>
          </w:tcPr>
          <w:p w:rsidR="00457B9A" w:rsidRPr="0005135E" w:rsidRDefault="00457B9A" w:rsidP="00955D0F">
            <w:pPr>
              <w:rPr>
                <w:rFonts w:ascii="Times New Roman" w:eastAsia="Times New Roman" w:hAnsi="Times New Roman"/>
                <w:color w:val="000000"/>
                <w:sz w:val="24"/>
                <w:szCs w:val="20"/>
              </w:rPr>
            </w:pPr>
            <w:r w:rsidRPr="0005135E">
              <w:rPr>
                <w:rFonts w:ascii="Times New Roman" w:eastAsia="Times New Roman" w:hAnsi="Times New Roman"/>
                <w:color w:val="000000"/>
                <w:sz w:val="24"/>
                <w:szCs w:val="20"/>
              </w:rPr>
              <w:t>1.785</w:t>
            </w:r>
          </w:p>
        </w:tc>
      </w:tr>
    </w:tbl>
    <w:bookmarkEnd w:id="2"/>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Source: EViews 12 (data processing)</w:t>
      </w:r>
    </w:p>
    <w:p w:rsidR="00457B9A" w:rsidRPr="0005135E" w:rsidRDefault="00457B9A" w:rsidP="00457B9A">
      <w:pPr>
        <w:ind w:firstLine="284"/>
        <w:jc w:val="both"/>
        <w:rPr>
          <w:rFonts w:ascii="Times New Roman" w:eastAsia="Times New Roman" w:hAnsi="Times New Roman"/>
          <w:sz w:val="24"/>
          <w:szCs w:val="24"/>
        </w:rPr>
      </w:pPr>
      <w:r w:rsidRPr="0005135E">
        <w:rPr>
          <w:rFonts w:ascii="Times New Roman" w:eastAsia="Times New Roman" w:hAnsi="Times New Roman"/>
          <w:sz w:val="24"/>
          <w:szCs w:val="24"/>
        </w:rPr>
        <w:lastRenderedPageBreak/>
        <w:t>Table 2 provides the following descriptive results. The Financial Statement Integrity (FSI) variable has a mean of 1.295 and a standard deviation of 2.570. Financial statement integrity varies greatly between companies. Several companies show much higher integrity levels than most of the sample. The CEO Duality (CD) variable has a mean of 0.433 and a standard deviation of 0.497. Approximately 43.33% of companies implement CEO duality. The remaining companies do not implement it. This distribution matches dummy variable characteristics with two categories. The Audit Tenure (AT) variable has a mean of 2.446 and a standard deviation of 1.386. Auditors maintain audit engagements for an average of two to three years. Engagement duration shows moderate variation between companies. The Firm Complexity (FC) variable has a mean value of 2.183 and a standard deviation of 1.419, indicating that the level of complexity of company operations is moderate, but with considerable variation among the sample. Turning to the Firm Risk (FR) variable, this measure yields a mean value of 0.861 with a standard deviation of 1.785. These figures point to substantial variation in risk levels across companies. A portion of the sample exhibits relatively low company risk, whereas other companies display considerably higher risk levels.</w:t>
      </w:r>
    </w:p>
    <w:p w:rsidR="00457B9A" w:rsidRPr="0005135E" w:rsidRDefault="00457B9A" w:rsidP="00457B9A">
      <w:pPr>
        <w:jc w:val="both"/>
        <w:rPr>
          <w:rFonts w:ascii="Times New Roman" w:eastAsia="Times New Roman" w:hAnsi="Times New Roman"/>
          <w:sz w:val="24"/>
          <w:szCs w:val="24"/>
        </w:rPr>
      </w:pPr>
    </w:p>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4.2 Panel Data Model Selection Test</w:t>
      </w:r>
    </w:p>
    <w:p w:rsidR="00457B9A" w:rsidRPr="0005135E" w:rsidRDefault="00457B9A" w:rsidP="00457B9A">
      <w:pPr>
        <w:pStyle w:val="Caption"/>
        <w:keepNext/>
        <w:spacing w:after="0"/>
        <w:jc w:val="both"/>
        <w:rPr>
          <w:rFonts w:ascii="Times New Roman" w:hAnsi="Times New Roman"/>
          <w:i w:val="0"/>
          <w:color w:val="auto"/>
          <w:sz w:val="24"/>
        </w:rPr>
      </w:pPr>
      <w:r w:rsidRPr="0005135E">
        <w:rPr>
          <w:rFonts w:ascii="Times New Roman" w:hAnsi="Times New Roman"/>
          <w:b/>
          <w:i w:val="0"/>
          <w:color w:val="auto"/>
          <w:sz w:val="24"/>
        </w:rPr>
        <w:t xml:space="preserve">Table </w:t>
      </w:r>
      <w:r w:rsidRPr="0005135E">
        <w:rPr>
          <w:rFonts w:ascii="Times New Roman" w:hAnsi="Times New Roman"/>
          <w:b/>
          <w:i w:val="0"/>
          <w:color w:val="auto"/>
          <w:sz w:val="24"/>
        </w:rPr>
        <w:fldChar w:fldCharType="begin"/>
      </w:r>
      <w:r w:rsidRPr="0005135E">
        <w:rPr>
          <w:rFonts w:ascii="Times New Roman" w:hAnsi="Times New Roman"/>
          <w:b/>
          <w:i w:val="0"/>
          <w:color w:val="auto"/>
          <w:sz w:val="24"/>
        </w:rPr>
        <w:instrText xml:space="preserve"> SEQ Table \* ARABIC </w:instrText>
      </w:r>
      <w:r w:rsidRPr="0005135E">
        <w:rPr>
          <w:rFonts w:ascii="Times New Roman" w:hAnsi="Times New Roman"/>
          <w:b/>
          <w:i w:val="0"/>
          <w:color w:val="auto"/>
          <w:sz w:val="24"/>
        </w:rPr>
        <w:fldChar w:fldCharType="separate"/>
      </w:r>
      <w:r w:rsidR="00F12617">
        <w:rPr>
          <w:rFonts w:ascii="Times New Roman" w:hAnsi="Times New Roman"/>
          <w:b/>
          <w:i w:val="0"/>
          <w:noProof/>
          <w:color w:val="auto"/>
          <w:sz w:val="24"/>
        </w:rPr>
        <w:t>3</w:t>
      </w:r>
      <w:r w:rsidRPr="0005135E">
        <w:rPr>
          <w:rFonts w:ascii="Times New Roman" w:hAnsi="Times New Roman"/>
          <w:b/>
          <w:i w:val="0"/>
          <w:color w:val="auto"/>
          <w:sz w:val="24"/>
        </w:rPr>
        <w:fldChar w:fldCharType="end"/>
      </w:r>
      <w:r w:rsidRPr="0005135E">
        <w:rPr>
          <w:rFonts w:ascii="Times New Roman" w:hAnsi="Times New Roman"/>
          <w:b/>
          <w:i w:val="0"/>
          <w:color w:val="auto"/>
          <w:sz w:val="24"/>
        </w:rPr>
        <w:t>.</w:t>
      </w:r>
      <w:r w:rsidRPr="0005135E">
        <w:rPr>
          <w:rFonts w:ascii="Times New Roman" w:hAnsi="Times New Roman"/>
          <w:i w:val="0"/>
          <w:color w:val="auto"/>
          <w:sz w:val="24"/>
        </w:rPr>
        <w:t xml:space="preserve"> Panel Data Model Selection Test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4"/>
        <w:gridCol w:w="1556"/>
        <w:gridCol w:w="2010"/>
        <w:gridCol w:w="1735"/>
      </w:tblGrid>
      <w:tr w:rsidR="00457B9A" w:rsidRPr="0005135E" w:rsidTr="00CA4C71">
        <w:trPr>
          <w:trHeight w:val="315"/>
        </w:trPr>
        <w:tc>
          <w:tcPr>
            <w:tcW w:w="1880" w:type="pct"/>
            <w:shd w:val="clear" w:color="auto" w:fill="BFBFBF" w:themeFill="background1" w:themeFillShade="BF"/>
            <w:noWrap/>
            <w:vAlign w:val="center"/>
            <w:hideMark/>
          </w:tcPr>
          <w:p w:rsidR="00457B9A" w:rsidRPr="0005135E" w:rsidRDefault="00457B9A" w:rsidP="00955D0F">
            <w:pPr>
              <w:rPr>
                <w:rFonts w:ascii="Times New Roman" w:eastAsia="Times New Roman" w:hAnsi="Times New Roman"/>
                <w:b/>
                <w:bCs/>
                <w:color w:val="000000"/>
                <w:sz w:val="24"/>
                <w:szCs w:val="24"/>
              </w:rPr>
            </w:pPr>
            <w:r w:rsidRPr="0005135E">
              <w:rPr>
                <w:rFonts w:ascii="Times New Roman" w:eastAsia="Times New Roman" w:hAnsi="Times New Roman"/>
                <w:b/>
                <w:bCs/>
                <w:color w:val="000000"/>
                <w:sz w:val="24"/>
                <w:szCs w:val="24"/>
              </w:rPr>
              <w:t> Test Type</w:t>
            </w:r>
          </w:p>
        </w:tc>
        <w:tc>
          <w:tcPr>
            <w:tcW w:w="916" w:type="pct"/>
            <w:shd w:val="clear" w:color="auto" w:fill="BFBFBF" w:themeFill="background1" w:themeFillShade="BF"/>
            <w:noWrap/>
            <w:vAlign w:val="center"/>
            <w:hideMark/>
          </w:tcPr>
          <w:p w:rsidR="00457B9A" w:rsidRPr="0005135E" w:rsidRDefault="00457B9A" w:rsidP="00955D0F">
            <w:pPr>
              <w:rPr>
                <w:rFonts w:ascii="Times New Roman" w:eastAsia="Times New Roman" w:hAnsi="Times New Roman"/>
                <w:b/>
                <w:bCs/>
                <w:color w:val="000000"/>
                <w:sz w:val="24"/>
                <w:szCs w:val="24"/>
              </w:rPr>
            </w:pPr>
            <w:r w:rsidRPr="0005135E">
              <w:rPr>
                <w:rFonts w:ascii="Times New Roman" w:eastAsia="Times New Roman" w:hAnsi="Times New Roman"/>
                <w:b/>
                <w:bCs/>
                <w:color w:val="000000"/>
                <w:sz w:val="24"/>
                <w:szCs w:val="24"/>
              </w:rPr>
              <w:t>Prob</w:t>
            </w:r>
          </w:p>
        </w:tc>
        <w:tc>
          <w:tcPr>
            <w:tcW w:w="1183" w:type="pct"/>
            <w:shd w:val="clear" w:color="auto" w:fill="BFBFBF" w:themeFill="background1" w:themeFillShade="BF"/>
            <w:noWrap/>
            <w:vAlign w:val="center"/>
            <w:hideMark/>
          </w:tcPr>
          <w:p w:rsidR="00457B9A" w:rsidRPr="0005135E" w:rsidRDefault="00457B9A" w:rsidP="00955D0F">
            <w:pPr>
              <w:rPr>
                <w:rFonts w:ascii="Times New Roman" w:eastAsia="Times New Roman" w:hAnsi="Times New Roman"/>
                <w:b/>
                <w:bCs/>
                <w:color w:val="000000"/>
                <w:sz w:val="24"/>
                <w:szCs w:val="24"/>
              </w:rPr>
            </w:pPr>
            <w:r w:rsidRPr="0005135E">
              <w:rPr>
                <w:rFonts w:ascii="Times New Roman" w:eastAsia="Times New Roman" w:hAnsi="Times New Roman"/>
                <w:b/>
                <w:bCs/>
                <w:color w:val="000000"/>
                <w:sz w:val="24"/>
                <w:szCs w:val="24"/>
              </w:rPr>
              <w:t>Result</w:t>
            </w:r>
          </w:p>
        </w:tc>
        <w:tc>
          <w:tcPr>
            <w:tcW w:w="1021" w:type="pct"/>
            <w:shd w:val="clear" w:color="auto" w:fill="BFBFBF" w:themeFill="background1" w:themeFillShade="BF"/>
            <w:noWrap/>
            <w:vAlign w:val="center"/>
            <w:hideMark/>
          </w:tcPr>
          <w:p w:rsidR="00457B9A" w:rsidRPr="0005135E" w:rsidRDefault="00457B9A" w:rsidP="00955D0F">
            <w:pPr>
              <w:rPr>
                <w:rFonts w:ascii="Times New Roman" w:eastAsia="Times New Roman" w:hAnsi="Times New Roman"/>
                <w:b/>
                <w:bCs/>
                <w:color w:val="000000"/>
                <w:sz w:val="24"/>
                <w:szCs w:val="24"/>
              </w:rPr>
            </w:pPr>
            <w:r w:rsidRPr="0005135E">
              <w:rPr>
                <w:rFonts w:ascii="Times New Roman" w:eastAsia="Times New Roman" w:hAnsi="Times New Roman"/>
                <w:b/>
                <w:bCs/>
                <w:color w:val="000000"/>
                <w:sz w:val="24"/>
                <w:szCs w:val="24"/>
              </w:rPr>
              <w:t>Decision</w:t>
            </w:r>
          </w:p>
        </w:tc>
      </w:tr>
      <w:tr w:rsidR="00457B9A" w:rsidRPr="0005135E" w:rsidTr="00955D0F">
        <w:trPr>
          <w:trHeight w:val="315"/>
        </w:trPr>
        <w:tc>
          <w:tcPr>
            <w:tcW w:w="1880" w:type="pct"/>
            <w:noWrap/>
            <w:vAlign w:val="center"/>
            <w:hideMark/>
          </w:tcPr>
          <w:p w:rsidR="00457B9A" w:rsidRPr="0005135E" w:rsidRDefault="00457B9A" w:rsidP="00955D0F">
            <w:pPr>
              <w:rPr>
                <w:rFonts w:ascii="Times New Roman" w:eastAsia="Times New Roman" w:hAnsi="Times New Roman"/>
                <w:color w:val="000000"/>
                <w:sz w:val="24"/>
                <w:szCs w:val="24"/>
              </w:rPr>
            </w:pPr>
            <w:r w:rsidRPr="0005135E">
              <w:rPr>
                <w:rFonts w:ascii="Times New Roman" w:eastAsia="Times New Roman" w:hAnsi="Times New Roman"/>
                <w:color w:val="000000"/>
                <w:sz w:val="24"/>
                <w:szCs w:val="24"/>
              </w:rPr>
              <w:t>Chow</w:t>
            </w:r>
          </w:p>
        </w:tc>
        <w:tc>
          <w:tcPr>
            <w:tcW w:w="916" w:type="pct"/>
            <w:noWrap/>
            <w:vAlign w:val="center"/>
            <w:hideMark/>
          </w:tcPr>
          <w:p w:rsidR="00457B9A" w:rsidRPr="0005135E" w:rsidRDefault="00457B9A" w:rsidP="00955D0F">
            <w:pPr>
              <w:rPr>
                <w:rFonts w:ascii="Times New Roman" w:eastAsia="Times New Roman" w:hAnsi="Times New Roman"/>
                <w:color w:val="000000"/>
                <w:sz w:val="24"/>
                <w:szCs w:val="24"/>
              </w:rPr>
            </w:pPr>
            <w:r w:rsidRPr="0005135E">
              <w:rPr>
                <w:rFonts w:ascii="Times New Roman" w:eastAsia="Times New Roman" w:hAnsi="Times New Roman"/>
                <w:color w:val="000000"/>
                <w:sz w:val="24"/>
                <w:szCs w:val="24"/>
              </w:rPr>
              <w:t>0.0000</w:t>
            </w:r>
          </w:p>
        </w:tc>
        <w:tc>
          <w:tcPr>
            <w:tcW w:w="1183" w:type="pct"/>
            <w:noWrap/>
            <w:vAlign w:val="center"/>
            <w:hideMark/>
          </w:tcPr>
          <w:p w:rsidR="00457B9A" w:rsidRPr="0005135E" w:rsidRDefault="00457B9A" w:rsidP="00955D0F">
            <w:pPr>
              <w:rPr>
                <w:rFonts w:ascii="Times New Roman" w:eastAsia="Times New Roman" w:hAnsi="Times New Roman"/>
                <w:color w:val="000000"/>
                <w:sz w:val="24"/>
                <w:szCs w:val="24"/>
              </w:rPr>
            </w:pPr>
            <w:r w:rsidRPr="0005135E">
              <w:rPr>
                <w:rFonts w:ascii="Times New Roman" w:eastAsia="Times New Roman" w:hAnsi="Times New Roman"/>
                <w:color w:val="000000"/>
                <w:sz w:val="24"/>
                <w:szCs w:val="24"/>
              </w:rPr>
              <w:t>Prob &lt; 0.05</w:t>
            </w:r>
          </w:p>
        </w:tc>
        <w:tc>
          <w:tcPr>
            <w:tcW w:w="1021" w:type="pct"/>
            <w:noWrap/>
            <w:vAlign w:val="center"/>
            <w:hideMark/>
          </w:tcPr>
          <w:p w:rsidR="00457B9A" w:rsidRPr="0005135E" w:rsidRDefault="00457B9A" w:rsidP="00955D0F">
            <w:pPr>
              <w:rPr>
                <w:rFonts w:ascii="Times New Roman" w:eastAsia="Times New Roman" w:hAnsi="Times New Roman"/>
                <w:color w:val="000000"/>
                <w:sz w:val="24"/>
                <w:szCs w:val="24"/>
              </w:rPr>
            </w:pPr>
            <w:r w:rsidRPr="0005135E">
              <w:rPr>
                <w:rFonts w:ascii="Times New Roman" w:eastAsia="Times New Roman" w:hAnsi="Times New Roman"/>
                <w:color w:val="000000"/>
                <w:sz w:val="24"/>
                <w:szCs w:val="24"/>
              </w:rPr>
              <w:t>FEM</w:t>
            </w:r>
          </w:p>
        </w:tc>
      </w:tr>
      <w:tr w:rsidR="00457B9A" w:rsidRPr="0005135E" w:rsidTr="00955D0F">
        <w:trPr>
          <w:trHeight w:val="315"/>
        </w:trPr>
        <w:tc>
          <w:tcPr>
            <w:tcW w:w="1880" w:type="pct"/>
            <w:noWrap/>
            <w:vAlign w:val="center"/>
            <w:hideMark/>
          </w:tcPr>
          <w:p w:rsidR="00457B9A" w:rsidRPr="0005135E" w:rsidRDefault="00457B9A" w:rsidP="00955D0F">
            <w:pPr>
              <w:rPr>
                <w:rFonts w:ascii="Times New Roman" w:eastAsia="Times New Roman" w:hAnsi="Times New Roman"/>
                <w:color w:val="000000"/>
                <w:sz w:val="24"/>
                <w:szCs w:val="24"/>
              </w:rPr>
            </w:pPr>
            <w:r w:rsidRPr="0005135E">
              <w:rPr>
                <w:rFonts w:ascii="Times New Roman" w:eastAsia="Times New Roman" w:hAnsi="Times New Roman"/>
                <w:color w:val="000000"/>
                <w:sz w:val="24"/>
                <w:szCs w:val="24"/>
              </w:rPr>
              <w:t>Hausman</w:t>
            </w:r>
          </w:p>
        </w:tc>
        <w:tc>
          <w:tcPr>
            <w:tcW w:w="916" w:type="pct"/>
            <w:noWrap/>
            <w:vAlign w:val="center"/>
            <w:hideMark/>
          </w:tcPr>
          <w:p w:rsidR="00457B9A" w:rsidRPr="0005135E" w:rsidRDefault="00457B9A" w:rsidP="00955D0F">
            <w:pPr>
              <w:rPr>
                <w:rFonts w:ascii="Times New Roman" w:eastAsia="Times New Roman" w:hAnsi="Times New Roman"/>
                <w:color w:val="000000"/>
                <w:sz w:val="24"/>
                <w:szCs w:val="24"/>
              </w:rPr>
            </w:pPr>
            <w:r w:rsidRPr="0005135E">
              <w:rPr>
                <w:rFonts w:ascii="Times New Roman" w:eastAsia="Times New Roman" w:hAnsi="Times New Roman"/>
                <w:color w:val="000000"/>
                <w:sz w:val="24"/>
                <w:szCs w:val="24"/>
              </w:rPr>
              <w:t>0.2504</w:t>
            </w:r>
          </w:p>
        </w:tc>
        <w:tc>
          <w:tcPr>
            <w:tcW w:w="1183" w:type="pct"/>
            <w:noWrap/>
            <w:vAlign w:val="center"/>
            <w:hideMark/>
          </w:tcPr>
          <w:p w:rsidR="00457B9A" w:rsidRPr="0005135E" w:rsidRDefault="00457B9A" w:rsidP="00955D0F">
            <w:pPr>
              <w:rPr>
                <w:rFonts w:ascii="Times New Roman" w:eastAsia="Times New Roman" w:hAnsi="Times New Roman"/>
                <w:color w:val="000000"/>
                <w:sz w:val="24"/>
                <w:szCs w:val="24"/>
              </w:rPr>
            </w:pPr>
            <w:r w:rsidRPr="0005135E">
              <w:rPr>
                <w:rFonts w:ascii="Times New Roman" w:eastAsia="Times New Roman" w:hAnsi="Times New Roman"/>
                <w:color w:val="000000"/>
                <w:sz w:val="24"/>
                <w:szCs w:val="24"/>
              </w:rPr>
              <w:t>Prob &gt; 0.05</w:t>
            </w:r>
          </w:p>
        </w:tc>
        <w:tc>
          <w:tcPr>
            <w:tcW w:w="1021" w:type="pct"/>
            <w:noWrap/>
            <w:vAlign w:val="center"/>
            <w:hideMark/>
          </w:tcPr>
          <w:p w:rsidR="00457B9A" w:rsidRPr="0005135E" w:rsidRDefault="00457B9A" w:rsidP="00955D0F">
            <w:pPr>
              <w:rPr>
                <w:rFonts w:ascii="Times New Roman" w:eastAsia="Times New Roman" w:hAnsi="Times New Roman"/>
                <w:color w:val="000000"/>
                <w:sz w:val="24"/>
                <w:szCs w:val="24"/>
              </w:rPr>
            </w:pPr>
            <w:r w:rsidRPr="0005135E">
              <w:rPr>
                <w:rFonts w:ascii="Times New Roman" w:eastAsia="Times New Roman" w:hAnsi="Times New Roman"/>
                <w:color w:val="000000"/>
                <w:sz w:val="24"/>
                <w:szCs w:val="24"/>
              </w:rPr>
              <w:t>REM</w:t>
            </w:r>
          </w:p>
        </w:tc>
      </w:tr>
      <w:tr w:rsidR="00457B9A" w:rsidRPr="0005135E" w:rsidTr="00955D0F">
        <w:trPr>
          <w:trHeight w:val="315"/>
        </w:trPr>
        <w:tc>
          <w:tcPr>
            <w:tcW w:w="1880" w:type="pct"/>
            <w:noWrap/>
            <w:vAlign w:val="center"/>
            <w:hideMark/>
          </w:tcPr>
          <w:p w:rsidR="00457B9A" w:rsidRPr="0005135E" w:rsidRDefault="00457B9A" w:rsidP="00955D0F">
            <w:pPr>
              <w:rPr>
                <w:rFonts w:ascii="Times New Roman" w:eastAsia="Times New Roman" w:hAnsi="Times New Roman"/>
                <w:color w:val="000000"/>
                <w:sz w:val="24"/>
                <w:szCs w:val="24"/>
              </w:rPr>
            </w:pPr>
            <w:r w:rsidRPr="0005135E">
              <w:rPr>
                <w:rFonts w:ascii="Times New Roman" w:eastAsia="Times New Roman" w:hAnsi="Times New Roman"/>
                <w:color w:val="000000"/>
                <w:sz w:val="24"/>
                <w:szCs w:val="24"/>
              </w:rPr>
              <w:t>Lagrange Multiplier</w:t>
            </w:r>
          </w:p>
        </w:tc>
        <w:tc>
          <w:tcPr>
            <w:tcW w:w="916" w:type="pct"/>
            <w:noWrap/>
            <w:vAlign w:val="center"/>
            <w:hideMark/>
          </w:tcPr>
          <w:p w:rsidR="00457B9A" w:rsidRPr="0005135E" w:rsidRDefault="00457B9A" w:rsidP="00955D0F">
            <w:pPr>
              <w:rPr>
                <w:rFonts w:ascii="Times New Roman" w:eastAsia="Times New Roman" w:hAnsi="Times New Roman"/>
                <w:color w:val="000000"/>
                <w:sz w:val="24"/>
                <w:szCs w:val="24"/>
              </w:rPr>
            </w:pPr>
            <w:r w:rsidRPr="0005135E">
              <w:rPr>
                <w:rFonts w:ascii="Times New Roman" w:eastAsia="Times New Roman" w:hAnsi="Times New Roman"/>
                <w:color w:val="000000"/>
                <w:sz w:val="24"/>
                <w:szCs w:val="24"/>
              </w:rPr>
              <w:t>0.0000</w:t>
            </w:r>
          </w:p>
        </w:tc>
        <w:tc>
          <w:tcPr>
            <w:tcW w:w="1183" w:type="pct"/>
            <w:noWrap/>
            <w:vAlign w:val="center"/>
            <w:hideMark/>
          </w:tcPr>
          <w:p w:rsidR="00457B9A" w:rsidRPr="0005135E" w:rsidRDefault="00457B9A" w:rsidP="00955D0F">
            <w:pPr>
              <w:rPr>
                <w:rFonts w:ascii="Times New Roman" w:eastAsia="Times New Roman" w:hAnsi="Times New Roman"/>
                <w:color w:val="000000"/>
                <w:sz w:val="24"/>
                <w:szCs w:val="24"/>
              </w:rPr>
            </w:pPr>
            <w:r w:rsidRPr="0005135E">
              <w:rPr>
                <w:rFonts w:ascii="Times New Roman" w:eastAsia="Times New Roman" w:hAnsi="Times New Roman"/>
                <w:color w:val="000000"/>
                <w:sz w:val="24"/>
                <w:szCs w:val="24"/>
              </w:rPr>
              <w:t>Prob &lt; 0.05</w:t>
            </w:r>
          </w:p>
        </w:tc>
        <w:tc>
          <w:tcPr>
            <w:tcW w:w="1021" w:type="pct"/>
            <w:noWrap/>
            <w:vAlign w:val="center"/>
            <w:hideMark/>
          </w:tcPr>
          <w:p w:rsidR="00457B9A" w:rsidRPr="0005135E" w:rsidRDefault="00457B9A" w:rsidP="00955D0F">
            <w:pPr>
              <w:rPr>
                <w:rFonts w:ascii="Times New Roman" w:eastAsia="Times New Roman" w:hAnsi="Times New Roman"/>
                <w:color w:val="000000"/>
                <w:sz w:val="24"/>
                <w:szCs w:val="24"/>
              </w:rPr>
            </w:pPr>
            <w:r w:rsidRPr="0005135E">
              <w:rPr>
                <w:rFonts w:ascii="Times New Roman" w:eastAsia="Times New Roman" w:hAnsi="Times New Roman"/>
                <w:color w:val="000000"/>
                <w:sz w:val="24"/>
                <w:szCs w:val="24"/>
              </w:rPr>
              <w:t>REM</w:t>
            </w:r>
          </w:p>
        </w:tc>
      </w:tr>
    </w:tbl>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Source: EViews 12 (data processing)</w:t>
      </w:r>
    </w:p>
    <w:p w:rsidR="00457B9A" w:rsidRPr="0005135E" w:rsidRDefault="00457B9A" w:rsidP="00457B9A">
      <w:pPr>
        <w:ind w:firstLine="284"/>
        <w:jc w:val="both"/>
        <w:rPr>
          <w:rFonts w:ascii="Times New Roman" w:eastAsia="Times New Roman" w:hAnsi="Times New Roman"/>
          <w:sz w:val="24"/>
          <w:szCs w:val="24"/>
        </w:rPr>
      </w:pPr>
      <w:r w:rsidRPr="0005135E">
        <w:rPr>
          <w:rFonts w:ascii="Times New Roman" w:eastAsia="Times New Roman" w:hAnsi="Times New Roman"/>
          <w:sz w:val="24"/>
          <w:szCs w:val="24"/>
        </w:rPr>
        <w:t>Table 3 provides three main test results for panel data model selection: the Chow test, the Hausman test, and the Lagrange Multiplier (LM) test. The Chow test gives a probability value of 0.0000 (prob &lt; 0.05). This result rejects H0 that the Common Effect Model (CEM) represents the best model. The Fixed Effect Model (FEM) serves as a more appropriate choice than CEM. The Hausman test gives a probability value of 0.2504 (prob &gt; 0.05). This result accepts H0, meaning the Random Effect Model (REM) ranks above FEM. The LM test gives a probability value of 0.0000 (prob &lt; 0.05). This result rejects H0 and confirms REM as more suitable than CEM. Based on these three tests, the Random Effect Model (REM) stands as the most appropriate model for this panel data analysis.</w:t>
      </w:r>
    </w:p>
    <w:p w:rsidR="00457B9A" w:rsidRPr="0005135E" w:rsidRDefault="00457B9A" w:rsidP="00457B9A">
      <w:pPr>
        <w:jc w:val="both"/>
        <w:rPr>
          <w:rFonts w:ascii="Times New Roman" w:eastAsia="Times New Roman" w:hAnsi="Times New Roman"/>
          <w:sz w:val="24"/>
          <w:szCs w:val="24"/>
        </w:rPr>
      </w:pPr>
    </w:p>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4.3 Hypothesis Testing Result</w:t>
      </w:r>
    </w:p>
    <w:p w:rsidR="00457B9A" w:rsidRPr="0005135E" w:rsidRDefault="00457B9A" w:rsidP="00457B9A">
      <w:pPr>
        <w:pStyle w:val="Caption"/>
        <w:keepNext/>
        <w:spacing w:after="0"/>
        <w:jc w:val="left"/>
        <w:rPr>
          <w:rFonts w:ascii="Times New Roman" w:hAnsi="Times New Roman"/>
          <w:i w:val="0"/>
          <w:color w:val="auto"/>
          <w:sz w:val="24"/>
        </w:rPr>
      </w:pPr>
      <w:r w:rsidRPr="0005135E">
        <w:rPr>
          <w:rFonts w:ascii="Times New Roman" w:hAnsi="Times New Roman"/>
          <w:b/>
          <w:i w:val="0"/>
          <w:color w:val="auto"/>
          <w:sz w:val="24"/>
        </w:rPr>
        <w:t xml:space="preserve">Table </w:t>
      </w:r>
      <w:r w:rsidRPr="0005135E">
        <w:rPr>
          <w:rFonts w:ascii="Times New Roman" w:hAnsi="Times New Roman"/>
          <w:b/>
          <w:i w:val="0"/>
          <w:color w:val="auto"/>
          <w:sz w:val="24"/>
        </w:rPr>
        <w:fldChar w:fldCharType="begin"/>
      </w:r>
      <w:r w:rsidRPr="0005135E">
        <w:rPr>
          <w:rFonts w:ascii="Times New Roman" w:hAnsi="Times New Roman"/>
          <w:b/>
          <w:i w:val="0"/>
          <w:color w:val="auto"/>
          <w:sz w:val="24"/>
        </w:rPr>
        <w:instrText xml:space="preserve"> SEQ Table \* ARABIC </w:instrText>
      </w:r>
      <w:r w:rsidRPr="0005135E">
        <w:rPr>
          <w:rFonts w:ascii="Times New Roman" w:hAnsi="Times New Roman"/>
          <w:b/>
          <w:i w:val="0"/>
          <w:color w:val="auto"/>
          <w:sz w:val="24"/>
        </w:rPr>
        <w:fldChar w:fldCharType="separate"/>
      </w:r>
      <w:r w:rsidR="00F12617">
        <w:rPr>
          <w:rFonts w:ascii="Times New Roman" w:hAnsi="Times New Roman"/>
          <w:b/>
          <w:i w:val="0"/>
          <w:noProof/>
          <w:color w:val="auto"/>
          <w:sz w:val="24"/>
        </w:rPr>
        <w:t>4</w:t>
      </w:r>
      <w:r w:rsidRPr="0005135E">
        <w:rPr>
          <w:rFonts w:ascii="Times New Roman" w:hAnsi="Times New Roman"/>
          <w:b/>
          <w:i w:val="0"/>
          <w:color w:val="auto"/>
          <w:sz w:val="24"/>
        </w:rPr>
        <w:fldChar w:fldCharType="end"/>
      </w:r>
      <w:r w:rsidRPr="0005135E">
        <w:rPr>
          <w:rFonts w:ascii="Times New Roman" w:hAnsi="Times New Roman"/>
          <w:b/>
          <w:i w:val="0"/>
          <w:color w:val="auto"/>
          <w:sz w:val="24"/>
        </w:rPr>
        <w:t>.</w:t>
      </w:r>
      <w:r w:rsidRPr="0005135E">
        <w:rPr>
          <w:rFonts w:ascii="Times New Roman" w:hAnsi="Times New Roman"/>
          <w:i w:val="0"/>
          <w:color w:val="auto"/>
          <w:sz w:val="24"/>
        </w:rPr>
        <w:t xml:space="preserve"> T-Test Results</w:t>
      </w:r>
    </w:p>
    <w:tbl>
      <w:tblPr>
        <w:tblStyle w:val="TableGrid1"/>
        <w:tblW w:w="5000" w:type="pct"/>
        <w:tblLook w:val="0000" w:firstRow="0" w:lastRow="0" w:firstColumn="0" w:lastColumn="0" w:noHBand="0" w:noVBand="0"/>
      </w:tblPr>
      <w:tblGrid>
        <w:gridCol w:w="1393"/>
        <w:gridCol w:w="1568"/>
        <w:gridCol w:w="1495"/>
        <w:gridCol w:w="1383"/>
        <w:gridCol w:w="1050"/>
        <w:gridCol w:w="1606"/>
      </w:tblGrid>
      <w:tr w:rsidR="00457B9A" w:rsidRPr="00CA4C71" w:rsidTr="00CA4C71">
        <w:trPr>
          <w:trHeight w:val="225"/>
        </w:trPr>
        <w:tc>
          <w:tcPr>
            <w:tcW w:w="820" w:type="pct"/>
            <w:shd w:val="clear" w:color="auto" w:fill="BFBFBF" w:themeFill="background1" w:themeFillShade="BF"/>
          </w:tcPr>
          <w:p w:rsidR="00457B9A" w:rsidRPr="00CA4C71" w:rsidRDefault="00457B9A" w:rsidP="00955D0F">
            <w:pPr>
              <w:autoSpaceDE w:val="0"/>
              <w:autoSpaceDN w:val="0"/>
              <w:adjustRightInd w:val="0"/>
              <w:rPr>
                <w:rFonts w:ascii="Times New Roman" w:eastAsiaTheme="minorHAnsi" w:hAnsi="Times New Roman"/>
                <w:b/>
                <w:bCs/>
                <w:color w:val="000000"/>
                <w:sz w:val="24"/>
                <w:szCs w:val="24"/>
              </w:rPr>
            </w:pPr>
            <w:r w:rsidRPr="00CA4C71">
              <w:rPr>
                <w:rFonts w:ascii="Times New Roman" w:eastAsiaTheme="minorHAnsi" w:hAnsi="Times New Roman"/>
                <w:b/>
                <w:bCs/>
                <w:color w:val="000000"/>
                <w:sz w:val="24"/>
                <w:szCs w:val="24"/>
              </w:rPr>
              <w:t>Variable</w:t>
            </w:r>
          </w:p>
        </w:tc>
        <w:tc>
          <w:tcPr>
            <w:tcW w:w="923" w:type="pct"/>
            <w:shd w:val="clear" w:color="auto" w:fill="BFBFBF" w:themeFill="background1" w:themeFillShade="BF"/>
          </w:tcPr>
          <w:p w:rsidR="00457B9A" w:rsidRPr="00CA4C71" w:rsidRDefault="00457B9A" w:rsidP="00CA4C71">
            <w:pPr>
              <w:autoSpaceDE w:val="0"/>
              <w:autoSpaceDN w:val="0"/>
              <w:adjustRightInd w:val="0"/>
              <w:rPr>
                <w:rFonts w:ascii="Times New Roman" w:eastAsiaTheme="minorHAnsi" w:hAnsi="Times New Roman"/>
                <w:b/>
                <w:bCs/>
                <w:color w:val="000000"/>
                <w:sz w:val="24"/>
                <w:szCs w:val="24"/>
              </w:rPr>
            </w:pPr>
            <w:r w:rsidRPr="00CA4C71">
              <w:rPr>
                <w:rFonts w:ascii="Times New Roman" w:eastAsiaTheme="minorHAnsi" w:hAnsi="Times New Roman"/>
                <w:b/>
                <w:bCs/>
                <w:color w:val="000000"/>
                <w:sz w:val="24"/>
                <w:szCs w:val="24"/>
              </w:rPr>
              <w:t>Coefficient</w:t>
            </w:r>
          </w:p>
        </w:tc>
        <w:tc>
          <w:tcPr>
            <w:tcW w:w="880" w:type="pct"/>
            <w:shd w:val="clear" w:color="auto" w:fill="BFBFBF" w:themeFill="background1" w:themeFillShade="BF"/>
          </w:tcPr>
          <w:p w:rsidR="00457B9A" w:rsidRPr="00CA4C71" w:rsidRDefault="00457B9A" w:rsidP="00CA4C71">
            <w:pPr>
              <w:autoSpaceDE w:val="0"/>
              <w:autoSpaceDN w:val="0"/>
              <w:adjustRightInd w:val="0"/>
              <w:rPr>
                <w:rFonts w:ascii="Times New Roman" w:eastAsiaTheme="minorHAnsi" w:hAnsi="Times New Roman"/>
                <w:b/>
                <w:bCs/>
                <w:color w:val="000000"/>
                <w:sz w:val="24"/>
                <w:szCs w:val="24"/>
              </w:rPr>
            </w:pPr>
            <w:r w:rsidRPr="00CA4C71">
              <w:rPr>
                <w:rFonts w:ascii="Times New Roman" w:eastAsiaTheme="minorHAnsi" w:hAnsi="Times New Roman"/>
                <w:b/>
                <w:bCs/>
                <w:color w:val="000000"/>
                <w:sz w:val="24"/>
                <w:szCs w:val="24"/>
              </w:rPr>
              <w:t>Std. Error</w:t>
            </w:r>
          </w:p>
        </w:tc>
        <w:tc>
          <w:tcPr>
            <w:tcW w:w="814" w:type="pct"/>
            <w:shd w:val="clear" w:color="auto" w:fill="BFBFBF" w:themeFill="background1" w:themeFillShade="BF"/>
          </w:tcPr>
          <w:p w:rsidR="00457B9A" w:rsidRPr="00CA4C71" w:rsidRDefault="00457B9A" w:rsidP="00CA4C71">
            <w:pPr>
              <w:autoSpaceDE w:val="0"/>
              <w:autoSpaceDN w:val="0"/>
              <w:adjustRightInd w:val="0"/>
              <w:rPr>
                <w:rFonts w:ascii="Times New Roman" w:eastAsiaTheme="minorHAnsi" w:hAnsi="Times New Roman"/>
                <w:b/>
                <w:bCs/>
                <w:color w:val="000000"/>
                <w:sz w:val="24"/>
                <w:szCs w:val="24"/>
              </w:rPr>
            </w:pPr>
            <w:r w:rsidRPr="00CA4C71">
              <w:rPr>
                <w:rFonts w:ascii="Times New Roman" w:eastAsiaTheme="minorHAnsi" w:hAnsi="Times New Roman"/>
                <w:b/>
                <w:bCs/>
                <w:color w:val="000000"/>
                <w:sz w:val="24"/>
                <w:szCs w:val="24"/>
              </w:rPr>
              <w:t>t-Statistic</w:t>
            </w:r>
          </w:p>
        </w:tc>
        <w:tc>
          <w:tcPr>
            <w:tcW w:w="618" w:type="pct"/>
            <w:shd w:val="clear" w:color="auto" w:fill="BFBFBF" w:themeFill="background1" w:themeFillShade="BF"/>
          </w:tcPr>
          <w:p w:rsidR="00457B9A" w:rsidRPr="00CA4C71" w:rsidRDefault="00457B9A" w:rsidP="00CA4C71">
            <w:pPr>
              <w:autoSpaceDE w:val="0"/>
              <w:autoSpaceDN w:val="0"/>
              <w:adjustRightInd w:val="0"/>
              <w:rPr>
                <w:rFonts w:ascii="Times New Roman" w:eastAsiaTheme="minorHAnsi" w:hAnsi="Times New Roman"/>
                <w:b/>
                <w:bCs/>
                <w:color w:val="000000"/>
                <w:sz w:val="24"/>
                <w:szCs w:val="24"/>
              </w:rPr>
            </w:pPr>
            <w:r w:rsidRPr="00CA4C71">
              <w:rPr>
                <w:rFonts w:ascii="Times New Roman" w:eastAsiaTheme="minorHAnsi" w:hAnsi="Times New Roman"/>
                <w:b/>
                <w:bCs/>
                <w:color w:val="000000"/>
                <w:sz w:val="24"/>
                <w:szCs w:val="24"/>
              </w:rPr>
              <w:t>Prob.  </w:t>
            </w:r>
          </w:p>
        </w:tc>
        <w:tc>
          <w:tcPr>
            <w:tcW w:w="946" w:type="pct"/>
            <w:shd w:val="clear" w:color="auto" w:fill="BFBFBF" w:themeFill="background1" w:themeFillShade="BF"/>
          </w:tcPr>
          <w:p w:rsidR="00457B9A" w:rsidRPr="00CA4C71" w:rsidRDefault="00457B9A" w:rsidP="00CA4C71">
            <w:pPr>
              <w:autoSpaceDE w:val="0"/>
              <w:autoSpaceDN w:val="0"/>
              <w:adjustRightInd w:val="0"/>
              <w:rPr>
                <w:rFonts w:ascii="Times New Roman" w:eastAsiaTheme="minorHAnsi" w:hAnsi="Times New Roman"/>
                <w:b/>
                <w:bCs/>
                <w:color w:val="000000"/>
                <w:sz w:val="24"/>
                <w:szCs w:val="24"/>
              </w:rPr>
            </w:pPr>
            <w:r w:rsidRPr="00CA4C71">
              <w:rPr>
                <w:rFonts w:ascii="Times New Roman" w:eastAsiaTheme="minorHAnsi" w:hAnsi="Times New Roman"/>
                <w:b/>
                <w:bCs/>
                <w:color w:val="000000"/>
                <w:sz w:val="24"/>
                <w:szCs w:val="24"/>
              </w:rPr>
              <w:t>Conclusion</w:t>
            </w:r>
          </w:p>
        </w:tc>
      </w:tr>
      <w:tr w:rsidR="00457B9A" w:rsidRPr="00CA4C71" w:rsidTr="00CA4C71">
        <w:trPr>
          <w:trHeight w:val="225"/>
        </w:trPr>
        <w:tc>
          <w:tcPr>
            <w:tcW w:w="820" w:type="pct"/>
          </w:tcPr>
          <w:p w:rsidR="00457B9A" w:rsidRPr="00CA4C71" w:rsidRDefault="00457B9A" w:rsidP="00955D0F">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C</w:t>
            </w:r>
          </w:p>
        </w:tc>
        <w:tc>
          <w:tcPr>
            <w:tcW w:w="923"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1.861436</w:t>
            </w:r>
          </w:p>
        </w:tc>
        <w:tc>
          <w:tcPr>
            <w:tcW w:w="880"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0.508977</w:t>
            </w:r>
          </w:p>
        </w:tc>
        <w:tc>
          <w:tcPr>
            <w:tcW w:w="814"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3.657208</w:t>
            </w:r>
          </w:p>
        </w:tc>
        <w:tc>
          <w:tcPr>
            <w:tcW w:w="618"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0.0003</w:t>
            </w:r>
          </w:p>
        </w:tc>
        <w:tc>
          <w:tcPr>
            <w:tcW w:w="946"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p>
        </w:tc>
      </w:tr>
      <w:tr w:rsidR="00457B9A" w:rsidRPr="00CA4C71" w:rsidTr="00CA4C71">
        <w:trPr>
          <w:trHeight w:val="225"/>
        </w:trPr>
        <w:tc>
          <w:tcPr>
            <w:tcW w:w="820" w:type="pct"/>
          </w:tcPr>
          <w:p w:rsidR="00457B9A" w:rsidRPr="00CA4C71" w:rsidRDefault="00457B9A" w:rsidP="00955D0F">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CD</w:t>
            </w:r>
          </w:p>
        </w:tc>
        <w:tc>
          <w:tcPr>
            <w:tcW w:w="923"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0.352634</w:t>
            </w:r>
          </w:p>
        </w:tc>
        <w:tc>
          <w:tcPr>
            <w:tcW w:w="880"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0.430368</w:t>
            </w:r>
          </w:p>
        </w:tc>
        <w:tc>
          <w:tcPr>
            <w:tcW w:w="814"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0.819377</w:t>
            </w:r>
          </w:p>
        </w:tc>
        <w:tc>
          <w:tcPr>
            <w:tcW w:w="618"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0.4134</w:t>
            </w:r>
          </w:p>
        </w:tc>
        <w:tc>
          <w:tcPr>
            <w:tcW w:w="946"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Rejected</w:t>
            </w:r>
          </w:p>
        </w:tc>
      </w:tr>
      <w:tr w:rsidR="00457B9A" w:rsidRPr="00CA4C71" w:rsidTr="00CA4C71">
        <w:trPr>
          <w:trHeight w:val="225"/>
        </w:trPr>
        <w:tc>
          <w:tcPr>
            <w:tcW w:w="820" w:type="pct"/>
          </w:tcPr>
          <w:p w:rsidR="00457B9A" w:rsidRPr="00CA4C71" w:rsidRDefault="00457B9A" w:rsidP="00955D0F">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AT</w:t>
            </w:r>
          </w:p>
        </w:tc>
        <w:tc>
          <w:tcPr>
            <w:tcW w:w="923"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-0.278113</w:t>
            </w:r>
          </w:p>
        </w:tc>
        <w:tc>
          <w:tcPr>
            <w:tcW w:w="880"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0.062433</w:t>
            </w:r>
          </w:p>
        </w:tc>
        <w:tc>
          <w:tcPr>
            <w:tcW w:w="814"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-4.454582</w:t>
            </w:r>
          </w:p>
        </w:tc>
        <w:tc>
          <w:tcPr>
            <w:tcW w:w="618"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0.0000</w:t>
            </w:r>
          </w:p>
        </w:tc>
        <w:tc>
          <w:tcPr>
            <w:tcW w:w="946"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Accepted</w:t>
            </w:r>
          </w:p>
        </w:tc>
      </w:tr>
      <w:tr w:rsidR="00457B9A" w:rsidRPr="00CA4C71" w:rsidTr="00CA4C71">
        <w:trPr>
          <w:trHeight w:val="225"/>
        </w:trPr>
        <w:tc>
          <w:tcPr>
            <w:tcW w:w="820" w:type="pct"/>
          </w:tcPr>
          <w:p w:rsidR="00457B9A" w:rsidRPr="00CA4C71" w:rsidRDefault="00457B9A" w:rsidP="00955D0F">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FC</w:t>
            </w:r>
          </w:p>
        </w:tc>
        <w:tc>
          <w:tcPr>
            <w:tcW w:w="923"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-0.049921</w:t>
            </w:r>
          </w:p>
        </w:tc>
        <w:tc>
          <w:tcPr>
            <w:tcW w:w="880"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0.220959</w:t>
            </w:r>
          </w:p>
        </w:tc>
        <w:tc>
          <w:tcPr>
            <w:tcW w:w="814"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-0.225928</w:t>
            </w:r>
          </w:p>
        </w:tc>
        <w:tc>
          <w:tcPr>
            <w:tcW w:w="618"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0.8215</w:t>
            </w:r>
          </w:p>
        </w:tc>
        <w:tc>
          <w:tcPr>
            <w:tcW w:w="946"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Rejected</w:t>
            </w:r>
          </w:p>
        </w:tc>
      </w:tr>
      <w:tr w:rsidR="00457B9A" w:rsidRPr="00CA4C71" w:rsidTr="00CA4C71">
        <w:trPr>
          <w:trHeight w:val="225"/>
        </w:trPr>
        <w:tc>
          <w:tcPr>
            <w:tcW w:w="820" w:type="pct"/>
          </w:tcPr>
          <w:p w:rsidR="00457B9A" w:rsidRPr="00CA4C71" w:rsidRDefault="00457B9A" w:rsidP="00955D0F">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CD*FR</w:t>
            </w:r>
          </w:p>
        </w:tc>
        <w:tc>
          <w:tcPr>
            <w:tcW w:w="923"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-0.123755</w:t>
            </w:r>
          </w:p>
        </w:tc>
        <w:tc>
          <w:tcPr>
            <w:tcW w:w="880"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0.369069</w:t>
            </w:r>
          </w:p>
        </w:tc>
        <w:tc>
          <w:tcPr>
            <w:tcW w:w="814"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-0.335317</w:t>
            </w:r>
          </w:p>
        </w:tc>
        <w:tc>
          <w:tcPr>
            <w:tcW w:w="618"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0.7377</w:t>
            </w:r>
          </w:p>
        </w:tc>
        <w:tc>
          <w:tcPr>
            <w:tcW w:w="946"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Rejected</w:t>
            </w:r>
          </w:p>
        </w:tc>
      </w:tr>
      <w:tr w:rsidR="00457B9A" w:rsidRPr="00CA4C71" w:rsidTr="00CA4C71">
        <w:trPr>
          <w:trHeight w:val="225"/>
        </w:trPr>
        <w:tc>
          <w:tcPr>
            <w:tcW w:w="820" w:type="pct"/>
          </w:tcPr>
          <w:p w:rsidR="00457B9A" w:rsidRPr="00CA4C71" w:rsidRDefault="00457B9A" w:rsidP="00955D0F">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AT*FR</w:t>
            </w:r>
          </w:p>
        </w:tc>
        <w:tc>
          <w:tcPr>
            <w:tcW w:w="923"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0.377030</w:t>
            </w:r>
          </w:p>
        </w:tc>
        <w:tc>
          <w:tcPr>
            <w:tcW w:w="880"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0.024055</w:t>
            </w:r>
          </w:p>
        </w:tc>
        <w:tc>
          <w:tcPr>
            <w:tcW w:w="814"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15.67393</w:t>
            </w:r>
          </w:p>
        </w:tc>
        <w:tc>
          <w:tcPr>
            <w:tcW w:w="618"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0.0000</w:t>
            </w:r>
          </w:p>
        </w:tc>
        <w:tc>
          <w:tcPr>
            <w:tcW w:w="946"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Accepted</w:t>
            </w:r>
          </w:p>
        </w:tc>
      </w:tr>
      <w:tr w:rsidR="00457B9A" w:rsidRPr="00CA4C71" w:rsidTr="00CA4C71">
        <w:trPr>
          <w:trHeight w:val="225"/>
        </w:trPr>
        <w:tc>
          <w:tcPr>
            <w:tcW w:w="820" w:type="pct"/>
          </w:tcPr>
          <w:p w:rsidR="00457B9A" w:rsidRPr="00CA4C71" w:rsidRDefault="00457B9A" w:rsidP="00955D0F">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FC*FR</w:t>
            </w:r>
          </w:p>
        </w:tc>
        <w:tc>
          <w:tcPr>
            <w:tcW w:w="923"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-0.406607</w:t>
            </w:r>
          </w:p>
        </w:tc>
        <w:tc>
          <w:tcPr>
            <w:tcW w:w="880"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0.102467</w:t>
            </w:r>
          </w:p>
        </w:tc>
        <w:tc>
          <w:tcPr>
            <w:tcW w:w="814"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-3.968174</w:t>
            </w:r>
          </w:p>
        </w:tc>
        <w:tc>
          <w:tcPr>
            <w:tcW w:w="618"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0.0001</w:t>
            </w:r>
          </w:p>
        </w:tc>
        <w:tc>
          <w:tcPr>
            <w:tcW w:w="946" w:type="pct"/>
          </w:tcPr>
          <w:p w:rsidR="00457B9A" w:rsidRPr="00CA4C71" w:rsidRDefault="00457B9A" w:rsidP="00CA4C71">
            <w:pPr>
              <w:autoSpaceDE w:val="0"/>
              <w:autoSpaceDN w:val="0"/>
              <w:adjustRightInd w:val="0"/>
              <w:rPr>
                <w:rFonts w:ascii="Times New Roman" w:eastAsiaTheme="minorHAnsi" w:hAnsi="Times New Roman"/>
                <w:color w:val="000000"/>
                <w:sz w:val="24"/>
                <w:szCs w:val="24"/>
              </w:rPr>
            </w:pPr>
            <w:r w:rsidRPr="00CA4C71">
              <w:rPr>
                <w:rFonts w:ascii="Times New Roman" w:eastAsiaTheme="minorHAnsi" w:hAnsi="Times New Roman"/>
                <w:color w:val="000000"/>
                <w:sz w:val="24"/>
                <w:szCs w:val="24"/>
              </w:rPr>
              <w:t>Accepted</w:t>
            </w:r>
          </w:p>
        </w:tc>
      </w:tr>
    </w:tbl>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Source: EViews 12 (data processing)</w:t>
      </w:r>
    </w:p>
    <w:p w:rsidR="00457B9A" w:rsidRPr="0005135E" w:rsidRDefault="00457B9A" w:rsidP="00457B9A">
      <w:pPr>
        <w:ind w:firstLine="284"/>
        <w:jc w:val="both"/>
        <w:rPr>
          <w:rFonts w:ascii="Times New Roman" w:eastAsia="Times New Roman" w:hAnsi="Times New Roman"/>
          <w:sz w:val="24"/>
          <w:szCs w:val="24"/>
        </w:rPr>
      </w:pPr>
      <w:r w:rsidRPr="0005135E">
        <w:rPr>
          <w:rFonts w:ascii="Times New Roman" w:eastAsia="Times New Roman" w:hAnsi="Times New Roman"/>
          <w:sz w:val="24"/>
          <w:szCs w:val="24"/>
        </w:rPr>
        <w:lastRenderedPageBreak/>
        <w:t>Based on the hypothesis testing results, it can be concluded that Audit Tenure (AT) is the only independent variable with a direct significant effect on Financial Statement Integrity (FSI), whereas CEO Duality (CD) and Firm Complexity (FC) show no significant impact. In terms of moderation, Firm Risk (FR) effectively moderates the influence of both Audit Tenure and Firm Complexity on FSI, but fails to moderate the effect of CEO Duality. Consequently, out of the six hypotheses proposed, only H</w:t>
      </w:r>
      <w:r w:rsidRPr="0005135E">
        <w:rPr>
          <w:rFonts w:ascii="Times New Roman" w:eastAsia="Times New Roman" w:hAnsi="Times New Roman"/>
          <w:sz w:val="24"/>
          <w:szCs w:val="24"/>
          <w:vertAlign w:val="subscript"/>
        </w:rPr>
        <w:t>2</w:t>
      </w:r>
      <w:r w:rsidRPr="0005135E">
        <w:rPr>
          <w:rFonts w:ascii="Times New Roman" w:eastAsia="Times New Roman" w:hAnsi="Times New Roman"/>
          <w:sz w:val="24"/>
          <w:szCs w:val="24"/>
        </w:rPr>
        <w:t>, H5, and H</w:t>
      </w:r>
      <w:r w:rsidRPr="0005135E">
        <w:rPr>
          <w:rFonts w:ascii="Times New Roman" w:eastAsia="Times New Roman" w:hAnsi="Times New Roman"/>
          <w:sz w:val="24"/>
          <w:szCs w:val="24"/>
          <w:vertAlign w:val="subscript"/>
        </w:rPr>
        <w:t>6</w:t>
      </w:r>
      <w:r w:rsidRPr="0005135E">
        <w:rPr>
          <w:rFonts w:ascii="Times New Roman" w:eastAsia="Times New Roman" w:hAnsi="Times New Roman"/>
          <w:sz w:val="24"/>
          <w:szCs w:val="24"/>
        </w:rPr>
        <w:t xml:space="preserve"> are accepted, while H</w:t>
      </w:r>
      <w:r w:rsidRPr="0005135E">
        <w:rPr>
          <w:rFonts w:ascii="Times New Roman" w:eastAsia="Times New Roman" w:hAnsi="Times New Roman"/>
          <w:sz w:val="24"/>
          <w:szCs w:val="24"/>
          <w:vertAlign w:val="subscript"/>
        </w:rPr>
        <w:t>1</w:t>
      </w:r>
      <w:r w:rsidRPr="0005135E">
        <w:rPr>
          <w:rFonts w:ascii="Times New Roman" w:eastAsia="Times New Roman" w:hAnsi="Times New Roman"/>
          <w:sz w:val="24"/>
          <w:szCs w:val="24"/>
        </w:rPr>
        <w:t>, H</w:t>
      </w:r>
      <w:r w:rsidRPr="0005135E">
        <w:rPr>
          <w:rFonts w:ascii="Times New Roman" w:eastAsia="Times New Roman" w:hAnsi="Times New Roman"/>
          <w:sz w:val="24"/>
          <w:szCs w:val="24"/>
          <w:vertAlign w:val="subscript"/>
        </w:rPr>
        <w:t>3</w:t>
      </w:r>
      <w:r w:rsidRPr="0005135E">
        <w:rPr>
          <w:rFonts w:ascii="Times New Roman" w:eastAsia="Times New Roman" w:hAnsi="Times New Roman"/>
          <w:sz w:val="24"/>
          <w:szCs w:val="24"/>
        </w:rPr>
        <w:t>, and H</w:t>
      </w:r>
      <w:r w:rsidRPr="0005135E">
        <w:rPr>
          <w:rFonts w:ascii="Times New Roman" w:eastAsia="Times New Roman" w:hAnsi="Times New Roman"/>
          <w:sz w:val="24"/>
          <w:szCs w:val="24"/>
          <w:vertAlign w:val="subscript"/>
        </w:rPr>
        <w:t>4</w:t>
      </w:r>
      <w:r w:rsidRPr="0005135E">
        <w:rPr>
          <w:rFonts w:ascii="Times New Roman" w:eastAsia="Times New Roman" w:hAnsi="Times New Roman"/>
          <w:sz w:val="24"/>
          <w:szCs w:val="24"/>
        </w:rPr>
        <w:t xml:space="preserve"> are rejected.</w:t>
      </w:r>
    </w:p>
    <w:p w:rsidR="006D77AE" w:rsidRDefault="00457B9A" w:rsidP="00CA4C71">
      <w:pPr>
        <w:ind w:firstLine="284"/>
        <w:jc w:val="both"/>
        <w:rPr>
          <w:rFonts w:ascii="Times New Roman" w:eastAsia="Times New Roman" w:hAnsi="Times New Roman"/>
          <w:sz w:val="24"/>
          <w:szCs w:val="24"/>
        </w:rPr>
      </w:pPr>
      <w:r w:rsidRPr="0005135E">
        <w:rPr>
          <w:rFonts w:ascii="Times New Roman" w:eastAsia="Times New Roman" w:hAnsi="Times New Roman"/>
          <w:sz w:val="24"/>
          <w:szCs w:val="24"/>
        </w:rPr>
        <w:t>The R-squared value reaches 0.532780. CEO duality, audit tenure, firm complexity, firm risk, and the interaction variables explain 53.3% of the variation in financial statement integrity. Other factors outside this research model explain the remaining 46.7%.</w:t>
      </w:r>
    </w:p>
    <w:p w:rsidR="00CA4C71" w:rsidRPr="0005135E" w:rsidRDefault="00CA4C71" w:rsidP="00CA4C71">
      <w:pPr>
        <w:ind w:firstLine="284"/>
        <w:jc w:val="both"/>
        <w:rPr>
          <w:rFonts w:ascii="Times New Roman" w:eastAsia="Times New Roman" w:hAnsi="Times New Roman"/>
          <w:sz w:val="24"/>
          <w:szCs w:val="24"/>
        </w:rPr>
      </w:pPr>
    </w:p>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 xml:space="preserve">4.4 </w:t>
      </w:r>
      <w:proofErr w:type="spellStart"/>
      <w:r w:rsidRPr="0005135E">
        <w:rPr>
          <w:rFonts w:ascii="Times New Roman" w:eastAsia="Times New Roman" w:hAnsi="Times New Roman"/>
          <w:sz w:val="24"/>
          <w:szCs w:val="24"/>
        </w:rPr>
        <w:t>Discuccion</w:t>
      </w:r>
      <w:proofErr w:type="spellEnd"/>
    </w:p>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4.4.1 The Effect of CEO Duality on Financial Statement Integrity</w:t>
      </w:r>
    </w:p>
    <w:p w:rsidR="00457B9A" w:rsidRPr="0005135E" w:rsidRDefault="00457B9A" w:rsidP="00457B9A">
      <w:pPr>
        <w:ind w:firstLine="284"/>
        <w:jc w:val="both"/>
        <w:rPr>
          <w:rFonts w:ascii="Times New Roman" w:eastAsia="Times New Roman" w:hAnsi="Times New Roman"/>
          <w:sz w:val="24"/>
          <w:szCs w:val="24"/>
        </w:rPr>
      </w:pPr>
      <w:r w:rsidRPr="0005135E">
        <w:rPr>
          <w:rFonts w:ascii="Times New Roman" w:eastAsia="Times New Roman" w:hAnsi="Times New Roman"/>
          <w:sz w:val="24"/>
          <w:szCs w:val="24"/>
        </w:rPr>
        <w:t>The test results reject H1. CEO Duality shows no significant effect on financial statement integrity. Agency theory states that combining CEO and Chairman roles weakens supervisory functions and increases agency conflicts. This research finds otherwise. Other governance mechanisms act as a buffer in practice. Rigorous internal controls, an independent audit committee, and strict financial reporting regulations successfully limit opportunistic behavior potential. Consequently, CEO Duality is not a primary determinant of reporting quality, and companies can maintain this structure provided that other oversight functions operate effectively.</w:t>
      </w:r>
    </w:p>
    <w:p w:rsidR="00457B9A" w:rsidRPr="0005135E" w:rsidRDefault="00457B9A" w:rsidP="00457B9A">
      <w:pPr>
        <w:ind w:firstLine="284"/>
        <w:jc w:val="both"/>
        <w:rPr>
          <w:rFonts w:ascii="Times New Roman" w:eastAsia="Times New Roman" w:hAnsi="Times New Roman"/>
          <w:sz w:val="24"/>
          <w:szCs w:val="24"/>
        </w:rPr>
      </w:pPr>
    </w:p>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4.4.2 The Effect of Audit Tenure on Financial Statement Integrity</w:t>
      </w:r>
    </w:p>
    <w:p w:rsidR="00457B9A" w:rsidRPr="0005135E" w:rsidRDefault="00457B9A" w:rsidP="00457B9A">
      <w:pPr>
        <w:ind w:firstLine="284"/>
        <w:jc w:val="both"/>
        <w:rPr>
          <w:rFonts w:ascii="Times New Roman" w:eastAsia="Times New Roman" w:hAnsi="Times New Roman"/>
          <w:sz w:val="24"/>
          <w:szCs w:val="24"/>
        </w:rPr>
      </w:pPr>
      <w:r w:rsidRPr="0005135E">
        <w:rPr>
          <w:rFonts w:ascii="Times New Roman" w:eastAsia="Times New Roman" w:hAnsi="Times New Roman"/>
          <w:sz w:val="24"/>
          <w:szCs w:val="24"/>
        </w:rPr>
        <w:t>The test results accept H2. Audit Tenure produces a significant negative effect on financial statement integrity. Agency theory states external auditors reduce information asymmetry. An excessively long client relationship creates familiarity threats. This closeness diminishes auditor independence and objectivity. Professional compromises follow, lowering financial report integrity. Longer engagement duration makes oversight objectives less attainable. Auditor rotation plays a critically important role in safeguarding audit quality.</w:t>
      </w:r>
    </w:p>
    <w:p w:rsidR="00457B9A" w:rsidRPr="0005135E" w:rsidRDefault="00457B9A" w:rsidP="00457B9A">
      <w:pPr>
        <w:ind w:firstLine="284"/>
        <w:jc w:val="both"/>
        <w:rPr>
          <w:rFonts w:ascii="Times New Roman" w:eastAsia="Times New Roman" w:hAnsi="Times New Roman"/>
          <w:sz w:val="24"/>
          <w:szCs w:val="24"/>
        </w:rPr>
      </w:pPr>
    </w:p>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4.4.3 The Effect of Firm Complexity on Financial Statement Integrity</w:t>
      </w:r>
    </w:p>
    <w:p w:rsidR="00457B9A" w:rsidRPr="0005135E" w:rsidRDefault="00457B9A" w:rsidP="00457B9A">
      <w:pPr>
        <w:ind w:firstLine="284"/>
        <w:jc w:val="both"/>
        <w:rPr>
          <w:rFonts w:ascii="Times New Roman" w:eastAsia="Times New Roman" w:hAnsi="Times New Roman"/>
          <w:sz w:val="24"/>
          <w:szCs w:val="24"/>
        </w:rPr>
      </w:pPr>
      <w:r w:rsidRPr="0005135E">
        <w:rPr>
          <w:rFonts w:ascii="Times New Roman" w:eastAsia="Times New Roman" w:hAnsi="Times New Roman"/>
          <w:sz w:val="24"/>
          <w:szCs w:val="24"/>
        </w:rPr>
        <w:t>The test results reject H3. Firm Complexity produces no significant influence on financial statement integrity. Complex operations and corporate structures theoretically link to increased information asymmetry. This study finds that such companies compensate effectively. They implement more sophisticated reporting systems. They also adopt robust internal controls. These measures mitigate the potential negative effects of complexity. These reinforced mechanisms allow complex firms to maintain high levels of integrity despite their operational challenges. Therefore, complexity alone cannot be used as a primary indicator of declining reporting quality, as these firms are typically better equipped with oversight tools.</w:t>
      </w:r>
    </w:p>
    <w:p w:rsidR="00457B9A" w:rsidRPr="0005135E" w:rsidRDefault="00457B9A" w:rsidP="00457B9A">
      <w:pPr>
        <w:ind w:firstLine="284"/>
        <w:jc w:val="both"/>
        <w:rPr>
          <w:rFonts w:ascii="Times New Roman" w:eastAsia="Times New Roman" w:hAnsi="Times New Roman"/>
          <w:sz w:val="24"/>
          <w:szCs w:val="24"/>
        </w:rPr>
      </w:pPr>
    </w:p>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 xml:space="preserve">4.4.4 The Role of Firm Risk in Moderating the Influence of CEO Duality on Financial Statement Integrity </w:t>
      </w:r>
    </w:p>
    <w:p w:rsidR="00457B9A" w:rsidRPr="0005135E" w:rsidRDefault="00457B9A" w:rsidP="00457B9A">
      <w:pPr>
        <w:ind w:firstLine="284"/>
        <w:jc w:val="both"/>
        <w:rPr>
          <w:rFonts w:ascii="Times New Roman" w:eastAsia="Times New Roman" w:hAnsi="Times New Roman"/>
          <w:sz w:val="24"/>
          <w:szCs w:val="24"/>
        </w:rPr>
      </w:pPr>
      <w:r w:rsidRPr="0005135E">
        <w:rPr>
          <w:rFonts w:ascii="Times New Roman" w:eastAsia="Times New Roman" w:hAnsi="Times New Roman"/>
          <w:sz w:val="24"/>
          <w:szCs w:val="24"/>
        </w:rPr>
        <w:t xml:space="preserve">The test results reject H4. Firm risk fails to moderate the CEO Duality and financial statement integrity relationship. Within the agency theory framework, even though high firm risk may exert additional pressure on management to act opportunistically, the </w:t>
      </w:r>
      <w:r w:rsidRPr="0005135E">
        <w:rPr>
          <w:rFonts w:ascii="Times New Roman" w:eastAsia="Times New Roman" w:hAnsi="Times New Roman"/>
          <w:sz w:val="24"/>
          <w:szCs w:val="24"/>
        </w:rPr>
        <w:lastRenderedPageBreak/>
        <w:t>leadership structure remains a non-dominant factor in influencing financial outcomes. The lack of significant interaction suggests that other corporate governance mechanisms play a far more substantial role in controlling management behavior than the combination of risk and dual roles. This implies that high-risk environments do not necessarily make CEO Duality more detrimental to reporting integrity.</w:t>
      </w:r>
    </w:p>
    <w:p w:rsidR="00457B9A" w:rsidRPr="0005135E" w:rsidRDefault="00457B9A" w:rsidP="00457B9A">
      <w:pPr>
        <w:ind w:firstLine="284"/>
        <w:jc w:val="both"/>
        <w:rPr>
          <w:rFonts w:ascii="Times New Roman" w:eastAsia="Times New Roman" w:hAnsi="Times New Roman"/>
          <w:sz w:val="24"/>
          <w:szCs w:val="24"/>
        </w:rPr>
      </w:pPr>
    </w:p>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4.4.5 The Role of Firm Risk in Moderating the Effect of Audit Tenure on Financial Statement Integrity</w:t>
      </w:r>
    </w:p>
    <w:p w:rsidR="00457B9A" w:rsidRPr="0005135E" w:rsidRDefault="00457B9A" w:rsidP="00457B9A">
      <w:pPr>
        <w:ind w:firstLine="284"/>
        <w:jc w:val="both"/>
        <w:rPr>
          <w:rFonts w:ascii="Times New Roman" w:eastAsia="Times New Roman" w:hAnsi="Times New Roman"/>
          <w:sz w:val="24"/>
          <w:szCs w:val="24"/>
        </w:rPr>
      </w:pPr>
      <w:r w:rsidRPr="0005135E">
        <w:rPr>
          <w:rFonts w:ascii="Times New Roman" w:eastAsia="Times New Roman" w:hAnsi="Times New Roman"/>
          <w:sz w:val="24"/>
          <w:szCs w:val="24"/>
        </w:rPr>
        <w:t>Test results provide support for H5. Firm Risk significantly moderates how Audit Tenure affects financial statement integrity. High-risk companies show an even more pronounced negative impact from long auditor tenure. High-risk environments increase agency conflict potential. These environments demand more stringent and independent external supervision. Long tenure in high-pressure scenarios exacerbates auditor independence decline. Financial statements become more vulnerable to quality issues. High-risk firms need stricter audit quality evaluation and more frequent auditor rotation.</w:t>
      </w:r>
    </w:p>
    <w:p w:rsidR="00457B9A" w:rsidRPr="0005135E" w:rsidRDefault="00457B9A" w:rsidP="00457B9A">
      <w:pPr>
        <w:ind w:firstLine="284"/>
        <w:jc w:val="both"/>
        <w:rPr>
          <w:rFonts w:ascii="Times New Roman" w:eastAsia="Times New Roman" w:hAnsi="Times New Roman"/>
          <w:sz w:val="24"/>
          <w:szCs w:val="24"/>
        </w:rPr>
      </w:pPr>
    </w:p>
    <w:p w:rsidR="00457B9A" w:rsidRPr="0005135E" w:rsidRDefault="00457B9A" w:rsidP="00457B9A">
      <w:pPr>
        <w:jc w:val="both"/>
        <w:rPr>
          <w:rFonts w:ascii="Times New Roman" w:eastAsia="Times New Roman" w:hAnsi="Times New Roman"/>
          <w:sz w:val="24"/>
          <w:szCs w:val="24"/>
        </w:rPr>
      </w:pPr>
      <w:r w:rsidRPr="0005135E">
        <w:rPr>
          <w:rFonts w:ascii="Times New Roman" w:eastAsia="Times New Roman" w:hAnsi="Times New Roman"/>
          <w:sz w:val="24"/>
          <w:szCs w:val="24"/>
        </w:rPr>
        <w:t>4.4.6 The Role of Firm Risk in Moderating the Influence of Corporate Complexity on Financial Statement Integrity</w:t>
      </w:r>
    </w:p>
    <w:p w:rsidR="00457B9A" w:rsidRPr="0005135E" w:rsidRDefault="00457B9A" w:rsidP="00457B9A">
      <w:pPr>
        <w:ind w:firstLine="284"/>
        <w:jc w:val="both"/>
        <w:rPr>
          <w:rFonts w:ascii="Times New Roman" w:eastAsia="Times New Roman" w:hAnsi="Times New Roman"/>
          <w:sz w:val="24"/>
          <w:szCs w:val="24"/>
        </w:rPr>
      </w:pPr>
      <w:r w:rsidRPr="0005135E">
        <w:rPr>
          <w:rFonts w:ascii="Times New Roman" w:eastAsia="Times New Roman" w:hAnsi="Times New Roman"/>
          <w:sz w:val="24"/>
          <w:szCs w:val="24"/>
        </w:rPr>
        <w:t xml:space="preserve">The test results accept H6. Firm Risk significantly moderates the Corporate Complexity influence on financial statement integrity. High complexity combined with high risk significantly widens the information asymmetry gap. This wider gap gives management more opportunities for opportunistic behavior. This volatile combination makes reporting integrity harder to maintain. Firms facing only one factor do not struggle as much. Companies with both high complexity and high risk require more intensive supervision. They also need transparent reporting processes and enhanced internal audits. These requirements protect financial information quality from management manipulation. </w:t>
      </w:r>
    </w:p>
    <w:p w:rsidR="00457B9A" w:rsidRPr="0005135E" w:rsidRDefault="00457B9A" w:rsidP="00457B9A">
      <w:pPr>
        <w:ind w:firstLine="284"/>
        <w:jc w:val="both"/>
        <w:rPr>
          <w:rFonts w:ascii="Times New Roman" w:eastAsia="Times New Roman" w:hAnsi="Times New Roman"/>
          <w:sz w:val="24"/>
          <w:szCs w:val="24"/>
        </w:rPr>
      </w:pPr>
    </w:p>
    <w:p w:rsidR="00457B9A" w:rsidRPr="0005135E" w:rsidRDefault="006D77AE" w:rsidP="00457B9A">
      <w:pPr>
        <w:pStyle w:val="Heading3"/>
        <w:numPr>
          <w:ilvl w:val="0"/>
          <w:numId w:val="1"/>
        </w:numPr>
        <w:spacing w:line="240" w:lineRule="auto"/>
        <w:ind w:left="284" w:hanging="284"/>
        <w:jc w:val="both"/>
        <w:rPr>
          <w:rFonts w:ascii="Times New Roman" w:eastAsia="Times New Roman" w:hAnsi="Times New Roman"/>
          <w:lang w:val="en-US"/>
        </w:rPr>
      </w:pPr>
      <w:r w:rsidRPr="0005135E">
        <w:rPr>
          <w:rFonts w:ascii="Times New Roman" w:eastAsia="Times New Roman" w:hAnsi="Times New Roman"/>
          <w:caps w:val="0"/>
          <w:lang w:val="en-US"/>
        </w:rPr>
        <w:t>Conclusion</w:t>
      </w:r>
    </w:p>
    <w:p w:rsidR="00457B9A" w:rsidRPr="0005135E" w:rsidRDefault="00457B9A" w:rsidP="00457B9A">
      <w:pPr>
        <w:ind w:firstLine="284"/>
        <w:jc w:val="both"/>
        <w:rPr>
          <w:rFonts w:ascii="Times New Roman" w:eastAsia="Times New Roman" w:hAnsi="Times New Roman"/>
          <w:sz w:val="24"/>
          <w:szCs w:val="24"/>
        </w:rPr>
      </w:pPr>
      <w:r w:rsidRPr="0005135E">
        <w:rPr>
          <w:rFonts w:ascii="Times New Roman" w:eastAsia="Times New Roman" w:hAnsi="Times New Roman"/>
          <w:sz w:val="24"/>
          <w:szCs w:val="24"/>
        </w:rPr>
        <w:t>This study investigates CEO Duality, Audit Tenure, and Firm Complexity effects on financial statement integrity. Firm risk acts as a moderating variable. Test results generate three main findings. CEO Duality shows no effect on financial statement integrity. Leadership structures combining CEO and board chair roles do not directly affect financial reporting quality. Audit Tenure shows a negative and significant effect. Longer auditor-client relationships lower financial statement integrity. Firm Complexity shows no effect on financial statement integrity. Operational complexity and corporate structure levels do not act as major factors determining reporting quality.</w:t>
      </w:r>
    </w:p>
    <w:p w:rsidR="00457B9A" w:rsidRPr="0005135E" w:rsidRDefault="00457B9A" w:rsidP="00457B9A">
      <w:pPr>
        <w:ind w:firstLine="284"/>
        <w:jc w:val="both"/>
        <w:rPr>
          <w:rFonts w:ascii="Times New Roman" w:eastAsia="Times New Roman" w:hAnsi="Times New Roman"/>
          <w:sz w:val="24"/>
          <w:szCs w:val="24"/>
        </w:rPr>
      </w:pPr>
      <w:r w:rsidRPr="0005135E">
        <w:rPr>
          <w:rFonts w:ascii="Times New Roman" w:eastAsia="Times New Roman" w:hAnsi="Times New Roman"/>
          <w:sz w:val="24"/>
          <w:szCs w:val="24"/>
        </w:rPr>
        <w:tab/>
        <w:t>The moderation analysis reveals firm risk as unable to moderate the CEO Duality and financial statement integrity linkage. Firm risk level neither strengthens nor weakens CEO Duality influence on reporting quality. Firm risk moderates the Audit Tenure and financial statement integrity relationship. High firm risk strengthens audit tenure's negative influence on statement integrity. Firm risk also moderates the Firm Complexity and financial statement integrity relationship. High corporate complexity under high-risk conditions worsens reporting integrity.</w:t>
      </w:r>
    </w:p>
    <w:p w:rsidR="00457B9A" w:rsidRPr="0005135E" w:rsidRDefault="00457B9A" w:rsidP="00457B9A">
      <w:pPr>
        <w:ind w:firstLine="284"/>
        <w:jc w:val="both"/>
        <w:rPr>
          <w:rFonts w:ascii="Times New Roman" w:eastAsia="Times New Roman" w:hAnsi="Times New Roman"/>
          <w:sz w:val="24"/>
          <w:szCs w:val="24"/>
        </w:rPr>
      </w:pPr>
      <w:r w:rsidRPr="0005135E">
        <w:rPr>
          <w:rFonts w:ascii="Times New Roman" w:eastAsia="Times New Roman" w:hAnsi="Times New Roman"/>
          <w:sz w:val="24"/>
          <w:szCs w:val="24"/>
        </w:rPr>
        <w:tab/>
        <w:t xml:space="preserve">The overall findings of this study point to a clear conclusion. Financial statement integrity receives stronger influence from two specific factors: auditor independence and company risk conditions. In contrast, leadership structure and company complexity exert weaker influence on financial statement integrity. This study contributes importantly to </w:t>
      </w:r>
      <w:r w:rsidRPr="0005135E">
        <w:rPr>
          <w:rFonts w:ascii="Times New Roman" w:eastAsia="Times New Roman" w:hAnsi="Times New Roman"/>
          <w:sz w:val="24"/>
          <w:szCs w:val="24"/>
        </w:rPr>
        <w:lastRenderedPageBreak/>
        <w:t>corporate governance and reporting quality literature. Regulators, auditors, and investors can reference this study for assessing financial statement integrity decline risk. Companies with high operational risk levels benefit most from this reference.</w:t>
      </w:r>
    </w:p>
    <w:p w:rsidR="00457B9A" w:rsidRPr="0005135E" w:rsidRDefault="00457B9A" w:rsidP="006D77AE">
      <w:pPr>
        <w:jc w:val="both"/>
        <w:rPr>
          <w:rFonts w:ascii="Times New Roman" w:eastAsia="Times New Roman" w:hAnsi="Times New Roman"/>
          <w:sz w:val="24"/>
          <w:szCs w:val="24"/>
        </w:rPr>
      </w:pPr>
    </w:p>
    <w:p w:rsidR="00457B9A" w:rsidRPr="0005135E" w:rsidRDefault="006D77AE" w:rsidP="00457B9A">
      <w:pPr>
        <w:pStyle w:val="Heading3"/>
        <w:spacing w:line="240" w:lineRule="auto"/>
        <w:jc w:val="both"/>
        <w:rPr>
          <w:rFonts w:ascii="Times New Roman" w:eastAsia="Times New Roman" w:hAnsi="Times New Roman"/>
          <w:lang w:val="en-US"/>
        </w:rPr>
      </w:pPr>
      <w:r w:rsidRPr="0005135E">
        <w:rPr>
          <w:rFonts w:ascii="Times New Roman" w:eastAsia="Times New Roman" w:hAnsi="Times New Roman"/>
          <w:caps w:val="0"/>
          <w:lang w:val="en-US"/>
        </w:rPr>
        <w:t>References</w:t>
      </w:r>
    </w:p>
    <w:p w:rsidR="00457B9A" w:rsidRPr="0005135E" w:rsidRDefault="00457B9A" w:rsidP="00457B9A">
      <w:pPr>
        <w:widowControl w:val="0"/>
        <w:autoSpaceDE w:val="0"/>
        <w:autoSpaceDN w:val="0"/>
        <w:adjustRightInd w:val="0"/>
        <w:ind w:left="480" w:hanging="480"/>
        <w:jc w:val="both"/>
        <w:rPr>
          <w:rFonts w:ascii="Times New Roman" w:hAnsi="Times New Roman"/>
          <w:noProof/>
          <w:sz w:val="24"/>
          <w:szCs w:val="24"/>
        </w:rPr>
      </w:pPr>
      <w:r w:rsidRPr="0005135E">
        <w:rPr>
          <w:rFonts w:ascii="Times New Roman" w:hAnsi="Times New Roman"/>
          <w:sz w:val="24"/>
        </w:rPr>
        <w:fldChar w:fldCharType="begin" w:fldLock="1"/>
      </w:r>
      <w:r w:rsidRPr="0005135E">
        <w:rPr>
          <w:rFonts w:ascii="Times New Roman" w:hAnsi="Times New Roman"/>
          <w:sz w:val="24"/>
        </w:rPr>
        <w:instrText xml:space="preserve">ADDIN Mendeley Bibliography CSL_BIBLIOGRAPHY </w:instrText>
      </w:r>
      <w:r w:rsidRPr="0005135E">
        <w:rPr>
          <w:rFonts w:ascii="Times New Roman" w:hAnsi="Times New Roman"/>
          <w:sz w:val="24"/>
        </w:rPr>
        <w:fldChar w:fldCharType="separate"/>
      </w:r>
      <w:r w:rsidRPr="0005135E">
        <w:rPr>
          <w:rFonts w:ascii="Times New Roman" w:hAnsi="Times New Roman"/>
          <w:noProof/>
          <w:sz w:val="24"/>
          <w:szCs w:val="24"/>
        </w:rPr>
        <w:t xml:space="preserve">Al Rasid, S., &amp; Herliansyah, Y. (2024). </w:t>
      </w:r>
      <w:r w:rsidR="006D77AE" w:rsidRPr="0005135E">
        <w:rPr>
          <w:rFonts w:ascii="Times New Roman" w:hAnsi="Times New Roman"/>
          <w:noProof/>
          <w:sz w:val="24"/>
          <w:szCs w:val="24"/>
        </w:rPr>
        <w:t xml:space="preserve">The Effect Of Audit Committee, Independent Commissioners, Leverage, Audit Quality And Audit Tenure On The Integrity Of Financial Reports (Empirical Study On Mining Companies In The Oil, Gas &amp; Coal Sub-Sector Listed On The Indonesia Stock Exchange For The Period </w:t>
      </w:r>
      <w:r w:rsidRPr="0005135E">
        <w:rPr>
          <w:rFonts w:ascii="Times New Roman" w:hAnsi="Times New Roman"/>
          <w:noProof/>
          <w:sz w:val="24"/>
          <w:szCs w:val="24"/>
        </w:rPr>
        <w:t xml:space="preserve">2019-2022). In </w:t>
      </w:r>
      <w:r w:rsidRPr="0005135E">
        <w:rPr>
          <w:rFonts w:ascii="Times New Roman" w:hAnsi="Times New Roman"/>
          <w:i/>
          <w:iCs/>
          <w:noProof/>
          <w:sz w:val="24"/>
          <w:szCs w:val="24"/>
        </w:rPr>
        <w:t>Indonesian Interdisciplinary Journal of Sharia Economics (IIJSE</w:t>
      </w:r>
      <w:r w:rsidRPr="0005135E">
        <w:rPr>
          <w:rFonts w:ascii="Times New Roman" w:hAnsi="Times New Roman"/>
          <w:noProof/>
          <w:sz w:val="24"/>
          <w:szCs w:val="24"/>
        </w:rPr>
        <w:t xml:space="preserve"> (Vol. 7, Number 3). www.bloombergtechnoz.com,</w:t>
      </w:r>
    </w:p>
    <w:p w:rsidR="00457B9A" w:rsidRPr="0005135E" w:rsidRDefault="00457B9A" w:rsidP="00457B9A">
      <w:pPr>
        <w:widowControl w:val="0"/>
        <w:autoSpaceDE w:val="0"/>
        <w:autoSpaceDN w:val="0"/>
        <w:adjustRightInd w:val="0"/>
        <w:ind w:left="480" w:hanging="480"/>
        <w:jc w:val="both"/>
        <w:rPr>
          <w:rFonts w:ascii="Times New Roman" w:hAnsi="Times New Roman"/>
          <w:noProof/>
          <w:sz w:val="24"/>
          <w:szCs w:val="24"/>
        </w:rPr>
      </w:pPr>
      <w:r w:rsidRPr="0005135E">
        <w:rPr>
          <w:rFonts w:ascii="Times New Roman" w:hAnsi="Times New Roman"/>
          <w:noProof/>
          <w:sz w:val="24"/>
          <w:szCs w:val="24"/>
        </w:rPr>
        <w:t xml:space="preserve">Auliyah, A. H. F., Fitriyani, D., &amp; Herawaty, N. (2022). Analisis Pengaruh Ukuran KAP, Audit Tenure, Audit Fee dan Independensi Auditor Terhadap Integritas Laporan Keuangan. </w:t>
      </w:r>
      <w:r w:rsidRPr="0005135E">
        <w:rPr>
          <w:rFonts w:ascii="Times New Roman" w:hAnsi="Times New Roman"/>
          <w:i/>
          <w:iCs/>
          <w:noProof/>
          <w:sz w:val="24"/>
          <w:szCs w:val="24"/>
        </w:rPr>
        <w:t>Jurnal Ilmiah Universitas Batanghari Jambi</w:t>
      </w:r>
      <w:r w:rsidRPr="0005135E">
        <w:rPr>
          <w:rFonts w:ascii="Times New Roman" w:hAnsi="Times New Roman"/>
          <w:noProof/>
          <w:sz w:val="24"/>
          <w:szCs w:val="24"/>
        </w:rPr>
        <w:t xml:space="preserve">, </w:t>
      </w:r>
      <w:r w:rsidRPr="0005135E">
        <w:rPr>
          <w:rFonts w:ascii="Times New Roman" w:hAnsi="Times New Roman"/>
          <w:i/>
          <w:iCs/>
          <w:noProof/>
          <w:sz w:val="24"/>
          <w:szCs w:val="24"/>
        </w:rPr>
        <w:t>22</w:t>
      </w:r>
      <w:r w:rsidRPr="0005135E">
        <w:rPr>
          <w:rFonts w:ascii="Times New Roman" w:hAnsi="Times New Roman"/>
          <w:noProof/>
          <w:sz w:val="24"/>
          <w:szCs w:val="24"/>
        </w:rPr>
        <w:t>(1), 272. https://doi.org/10.33087/jiubj.v22i1.2012</w:t>
      </w:r>
    </w:p>
    <w:p w:rsidR="00457B9A" w:rsidRPr="0005135E" w:rsidRDefault="00457B9A" w:rsidP="00457B9A">
      <w:pPr>
        <w:widowControl w:val="0"/>
        <w:autoSpaceDE w:val="0"/>
        <w:autoSpaceDN w:val="0"/>
        <w:adjustRightInd w:val="0"/>
        <w:ind w:left="480" w:hanging="480"/>
        <w:jc w:val="both"/>
        <w:rPr>
          <w:rFonts w:ascii="Times New Roman" w:hAnsi="Times New Roman"/>
          <w:noProof/>
          <w:sz w:val="24"/>
          <w:szCs w:val="24"/>
        </w:rPr>
      </w:pPr>
      <w:r w:rsidRPr="0005135E">
        <w:rPr>
          <w:rFonts w:ascii="Times New Roman" w:hAnsi="Times New Roman"/>
          <w:noProof/>
          <w:sz w:val="24"/>
          <w:szCs w:val="24"/>
        </w:rPr>
        <w:t xml:space="preserve">Ayu Ratih Manuari, I., Luh Nyoman Sherina Devi, N., Studi Akuntansi, P., Ekonomi dan Bisnis, F., &amp; Mahasaraswati Denpasar, U. (2021). </w:t>
      </w:r>
      <w:r w:rsidR="006D77AE" w:rsidRPr="0005135E">
        <w:rPr>
          <w:rFonts w:ascii="Times New Roman" w:hAnsi="Times New Roman"/>
          <w:noProof/>
          <w:sz w:val="24"/>
          <w:szCs w:val="24"/>
        </w:rPr>
        <w:t xml:space="preserve">Implikasi Mekanismecorporate Governance, Leverage, Audit Tenure Dan Kualitas Audit Terhadap Integritas Laporan Keuangan. </w:t>
      </w:r>
      <w:r w:rsidRPr="0005135E">
        <w:rPr>
          <w:rFonts w:ascii="Times New Roman" w:hAnsi="Times New Roman"/>
          <w:noProof/>
          <w:sz w:val="24"/>
          <w:szCs w:val="24"/>
        </w:rPr>
        <w:t xml:space="preserve">In </w:t>
      </w:r>
      <w:r w:rsidRPr="0005135E">
        <w:rPr>
          <w:rFonts w:ascii="Times New Roman" w:hAnsi="Times New Roman"/>
          <w:i/>
          <w:iCs/>
          <w:noProof/>
          <w:sz w:val="24"/>
          <w:szCs w:val="24"/>
        </w:rPr>
        <w:t>Journal of Applied Management and Accounting Science (JAMAS)</w:t>
      </w:r>
      <w:r w:rsidRPr="0005135E">
        <w:rPr>
          <w:rFonts w:ascii="Times New Roman" w:hAnsi="Times New Roman"/>
          <w:noProof/>
          <w:sz w:val="24"/>
          <w:szCs w:val="24"/>
        </w:rPr>
        <w:t xml:space="preserve"> (Vol. 2, Number 2).</w:t>
      </w:r>
    </w:p>
    <w:p w:rsidR="00457B9A" w:rsidRPr="0005135E" w:rsidRDefault="00457B9A" w:rsidP="00457B9A">
      <w:pPr>
        <w:widowControl w:val="0"/>
        <w:autoSpaceDE w:val="0"/>
        <w:autoSpaceDN w:val="0"/>
        <w:adjustRightInd w:val="0"/>
        <w:ind w:left="480" w:hanging="480"/>
        <w:jc w:val="both"/>
        <w:rPr>
          <w:rFonts w:ascii="Times New Roman" w:hAnsi="Times New Roman"/>
          <w:noProof/>
          <w:sz w:val="24"/>
          <w:szCs w:val="24"/>
        </w:rPr>
      </w:pPr>
      <w:r w:rsidRPr="0005135E">
        <w:rPr>
          <w:rFonts w:ascii="Times New Roman" w:hAnsi="Times New Roman"/>
          <w:noProof/>
          <w:sz w:val="24"/>
          <w:szCs w:val="24"/>
        </w:rPr>
        <w:t xml:space="preserve">Dahlia, R., &amp; Permatasari, Y. (2024). CEO Duality and Financial Performance During COVID-19. </w:t>
      </w:r>
      <w:r w:rsidRPr="0005135E">
        <w:rPr>
          <w:rFonts w:ascii="Times New Roman" w:hAnsi="Times New Roman"/>
          <w:i/>
          <w:iCs/>
          <w:noProof/>
          <w:sz w:val="24"/>
          <w:szCs w:val="24"/>
        </w:rPr>
        <w:t>Jurnal Akuntansi Dan Auditing</w:t>
      </w:r>
      <w:r w:rsidRPr="0005135E">
        <w:rPr>
          <w:rFonts w:ascii="Times New Roman" w:hAnsi="Times New Roman"/>
          <w:noProof/>
          <w:sz w:val="24"/>
          <w:szCs w:val="24"/>
        </w:rPr>
        <w:t>.</w:t>
      </w:r>
    </w:p>
    <w:p w:rsidR="00457B9A" w:rsidRPr="0005135E" w:rsidRDefault="00457B9A" w:rsidP="00457B9A">
      <w:pPr>
        <w:widowControl w:val="0"/>
        <w:autoSpaceDE w:val="0"/>
        <w:autoSpaceDN w:val="0"/>
        <w:adjustRightInd w:val="0"/>
        <w:ind w:left="480" w:hanging="480"/>
        <w:jc w:val="both"/>
        <w:rPr>
          <w:rFonts w:ascii="Times New Roman" w:hAnsi="Times New Roman"/>
          <w:noProof/>
          <w:sz w:val="24"/>
          <w:szCs w:val="24"/>
        </w:rPr>
      </w:pPr>
      <w:r w:rsidRPr="0005135E">
        <w:rPr>
          <w:rFonts w:ascii="Times New Roman" w:hAnsi="Times New Roman"/>
          <w:noProof/>
          <w:sz w:val="24"/>
          <w:szCs w:val="24"/>
        </w:rPr>
        <w:t xml:space="preserve">Febria Amanda, David Pangaribuan, &amp; Panata Bangar Hasioan Sianipar. (2025). Pengaruh Kompleksitas Operasi, Ukuran Perusahaan dan Komite Audit terhadap Kualitas Audit dengan Audit Delay sebagai Moderasi. </w:t>
      </w:r>
      <w:r w:rsidRPr="0005135E">
        <w:rPr>
          <w:rFonts w:ascii="Times New Roman" w:hAnsi="Times New Roman"/>
          <w:i/>
          <w:iCs/>
          <w:noProof/>
          <w:sz w:val="24"/>
          <w:szCs w:val="24"/>
        </w:rPr>
        <w:t>Jurnal Riset Ekonomi Dan Akuntansi</w:t>
      </w:r>
      <w:r w:rsidRPr="0005135E">
        <w:rPr>
          <w:rFonts w:ascii="Times New Roman" w:hAnsi="Times New Roman"/>
          <w:noProof/>
          <w:sz w:val="24"/>
          <w:szCs w:val="24"/>
        </w:rPr>
        <w:t xml:space="preserve">, </w:t>
      </w:r>
      <w:r w:rsidRPr="0005135E">
        <w:rPr>
          <w:rFonts w:ascii="Times New Roman" w:hAnsi="Times New Roman"/>
          <w:i/>
          <w:iCs/>
          <w:noProof/>
          <w:sz w:val="24"/>
          <w:szCs w:val="24"/>
        </w:rPr>
        <w:t>3</w:t>
      </w:r>
      <w:r w:rsidRPr="0005135E">
        <w:rPr>
          <w:rFonts w:ascii="Times New Roman" w:hAnsi="Times New Roman"/>
          <w:noProof/>
          <w:sz w:val="24"/>
          <w:szCs w:val="24"/>
        </w:rPr>
        <w:t>(1), 283–301. https://doi.org/10.54066/jrea-itb.v3i1.3072</w:t>
      </w:r>
    </w:p>
    <w:p w:rsidR="00457B9A" w:rsidRPr="0005135E" w:rsidRDefault="00457B9A" w:rsidP="00457B9A">
      <w:pPr>
        <w:widowControl w:val="0"/>
        <w:autoSpaceDE w:val="0"/>
        <w:autoSpaceDN w:val="0"/>
        <w:adjustRightInd w:val="0"/>
        <w:ind w:left="480" w:hanging="480"/>
        <w:jc w:val="both"/>
        <w:rPr>
          <w:rFonts w:ascii="Times New Roman" w:hAnsi="Times New Roman"/>
          <w:noProof/>
          <w:sz w:val="24"/>
          <w:szCs w:val="24"/>
        </w:rPr>
      </w:pPr>
      <w:r w:rsidRPr="0005135E">
        <w:rPr>
          <w:rFonts w:ascii="Times New Roman" w:hAnsi="Times New Roman"/>
          <w:noProof/>
          <w:sz w:val="24"/>
          <w:szCs w:val="24"/>
        </w:rPr>
        <w:t xml:space="preserve">Gusti Ayu Intan Purnama Sari, I., Ayu Nirma Prameswari, I., &amp; Made Mya Yudia Sari, D. (2025). Faktor-faktor yang Mempengaruhi Integritas Laporan Keuangan Perusahaan Sektor Barang Konsumen Primer yang Terdaftar di BEI Tahun 2021-2023. </w:t>
      </w:r>
      <w:r w:rsidRPr="0005135E">
        <w:rPr>
          <w:rFonts w:ascii="Times New Roman" w:hAnsi="Times New Roman"/>
          <w:i/>
          <w:iCs/>
          <w:noProof/>
          <w:sz w:val="24"/>
          <w:szCs w:val="24"/>
        </w:rPr>
        <w:t>Kumpulan Hasil Riset Mahasiswa Akuntansi (KHARISMA)</w:t>
      </w:r>
      <w:r w:rsidRPr="0005135E">
        <w:rPr>
          <w:rFonts w:ascii="Times New Roman" w:hAnsi="Times New Roman"/>
          <w:noProof/>
          <w:sz w:val="24"/>
          <w:szCs w:val="24"/>
        </w:rPr>
        <w:t xml:space="preserve">, </w:t>
      </w:r>
      <w:r w:rsidRPr="0005135E">
        <w:rPr>
          <w:rFonts w:ascii="Times New Roman" w:hAnsi="Times New Roman"/>
          <w:i/>
          <w:iCs/>
          <w:noProof/>
          <w:sz w:val="24"/>
          <w:szCs w:val="24"/>
        </w:rPr>
        <w:t>7</w:t>
      </w:r>
      <w:r w:rsidRPr="0005135E">
        <w:rPr>
          <w:rFonts w:ascii="Times New Roman" w:hAnsi="Times New Roman"/>
          <w:noProof/>
          <w:sz w:val="24"/>
          <w:szCs w:val="24"/>
        </w:rPr>
        <w:t>(2), 558–570.</w:t>
      </w:r>
    </w:p>
    <w:p w:rsidR="00457B9A" w:rsidRPr="0005135E" w:rsidRDefault="00457B9A" w:rsidP="00457B9A">
      <w:pPr>
        <w:widowControl w:val="0"/>
        <w:autoSpaceDE w:val="0"/>
        <w:autoSpaceDN w:val="0"/>
        <w:adjustRightInd w:val="0"/>
        <w:ind w:left="480" w:hanging="480"/>
        <w:jc w:val="both"/>
        <w:rPr>
          <w:rFonts w:ascii="Times New Roman" w:hAnsi="Times New Roman"/>
          <w:noProof/>
          <w:sz w:val="24"/>
          <w:szCs w:val="24"/>
        </w:rPr>
      </w:pPr>
      <w:r w:rsidRPr="0005135E">
        <w:rPr>
          <w:rFonts w:ascii="Times New Roman" w:hAnsi="Times New Roman"/>
          <w:noProof/>
          <w:sz w:val="24"/>
          <w:szCs w:val="24"/>
        </w:rPr>
        <w:t xml:space="preserve">Inayah, J. Z., &amp; Chariri, A. (2024). The Determinants of Financial Statement Fraud: Fraud Pentagon Perspective. </w:t>
      </w:r>
      <w:r w:rsidRPr="0005135E">
        <w:rPr>
          <w:rFonts w:ascii="Times New Roman" w:hAnsi="Times New Roman"/>
          <w:i/>
          <w:iCs/>
          <w:noProof/>
          <w:sz w:val="24"/>
          <w:szCs w:val="24"/>
        </w:rPr>
        <w:t>Jurnal Akuntansi Aktual</w:t>
      </w:r>
      <w:r w:rsidRPr="0005135E">
        <w:rPr>
          <w:rFonts w:ascii="Times New Roman" w:hAnsi="Times New Roman"/>
          <w:noProof/>
          <w:sz w:val="24"/>
          <w:szCs w:val="24"/>
        </w:rPr>
        <w:t>, 19. https://doi.org/10.17977/um004v11i12024p019</w:t>
      </w:r>
    </w:p>
    <w:p w:rsidR="00457B9A" w:rsidRPr="0005135E" w:rsidRDefault="00457B9A" w:rsidP="00457B9A">
      <w:pPr>
        <w:widowControl w:val="0"/>
        <w:autoSpaceDE w:val="0"/>
        <w:autoSpaceDN w:val="0"/>
        <w:adjustRightInd w:val="0"/>
        <w:ind w:left="480" w:hanging="480"/>
        <w:jc w:val="both"/>
        <w:rPr>
          <w:rFonts w:ascii="Times New Roman" w:hAnsi="Times New Roman"/>
          <w:noProof/>
          <w:sz w:val="24"/>
          <w:szCs w:val="24"/>
        </w:rPr>
      </w:pPr>
      <w:r w:rsidRPr="0005135E">
        <w:rPr>
          <w:rFonts w:ascii="Times New Roman" w:hAnsi="Times New Roman"/>
          <w:noProof/>
          <w:sz w:val="24"/>
          <w:szCs w:val="24"/>
        </w:rPr>
        <w:t xml:space="preserve">Izzah, T. R. N., Pratiwi, V. D. A., &amp; Suhatmi, E. C. (2025). </w:t>
      </w:r>
      <w:r w:rsidR="006D77AE" w:rsidRPr="0005135E">
        <w:rPr>
          <w:rFonts w:ascii="Times New Roman" w:hAnsi="Times New Roman"/>
          <w:noProof/>
          <w:sz w:val="24"/>
          <w:szCs w:val="24"/>
        </w:rPr>
        <w:t>Pengaruh Kompetensi Sdm Dan Pemanfaatan Teknologi Informasi Terhadap Kualitas Laporan Keuangan Pemerintah.</w:t>
      </w:r>
      <w:r w:rsidRPr="0005135E">
        <w:rPr>
          <w:rFonts w:ascii="Times New Roman" w:hAnsi="Times New Roman"/>
          <w:noProof/>
          <w:sz w:val="24"/>
          <w:szCs w:val="24"/>
        </w:rPr>
        <w:t xml:space="preserve"> </w:t>
      </w:r>
      <w:r w:rsidRPr="0005135E">
        <w:rPr>
          <w:rFonts w:ascii="Times New Roman" w:hAnsi="Times New Roman"/>
          <w:i/>
          <w:iCs/>
          <w:noProof/>
          <w:sz w:val="24"/>
          <w:szCs w:val="24"/>
        </w:rPr>
        <w:t>Proceedings Law, Accounting, Business, Economics and Language</w:t>
      </w:r>
      <w:r w:rsidRPr="0005135E">
        <w:rPr>
          <w:rFonts w:ascii="Times New Roman" w:hAnsi="Times New Roman"/>
          <w:noProof/>
          <w:sz w:val="24"/>
          <w:szCs w:val="24"/>
        </w:rPr>
        <w:t xml:space="preserve">, </w:t>
      </w:r>
      <w:r w:rsidRPr="0005135E">
        <w:rPr>
          <w:rFonts w:ascii="Times New Roman" w:hAnsi="Times New Roman"/>
          <w:i/>
          <w:iCs/>
          <w:noProof/>
          <w:sz w:val="24"/>
          <w:szCs w:val="24"/>
        </w:rPr>
        <w:t>2</w:t>
      </w:r>
      <w:r w:rsidRPr="0005135E">
        <w:rPr>
          <w:rFonts w:ascii="Times New Roman" w:hAnsi="Times New Roman"/>
          <w:noProof/>
          <w:sz w:val="24"/>
          <w:szCs w:val="24"/>
        </w:rPr>
        <w:t>(1), 321–326. https://ojs.udb.ac.id/label/article/view/5239</w:t>
      </w:r>
    </w:p>
    <w:p w:rsidR="00457B9A" w:rsidRPr="0005135E" w:rsidRDefault="00457B9A" w:rsidP="00457B9A">
      <w:pPr>
        <w:widowControl w:val="0"/>
        <w:autoSpaceDE w:val="0"/>
        <w:autoSpaceDN w:val="0"/>
        <w:adjustRightInd w:val="0"/>
        <w:ind w:left="480" w:hanging="480"/>
        <w:jc w:val="both"/>
        <w:rPr>
          <w:rFonts w:ascii="Times New Roman" w:hAnsi="Times New Roman"/>
          <w:noProof/>
          <w:sz w:val="24"/>
          <w:szCs w:val="24"/>
        </w:rPr>
      </w:pPr>
      <w:r w:rsidRPr="0005135E">
        <w:rPr>
          <w:rFonts w:ascii="Times New Roman" w:hAnsi="Times New Roman"/>
          <w:noProof/>
          <w:sz w:val="24"/>
          <w:szCs w:val="24"/>
        </w:rPr>
        <w:t xml:space="preserve">Kusumosari, L., &amp; Solikhah, B. (n.d.). </w:t>
      </w:r>
      <w:r w:rsidR="006D77AE" w:rsidRPr="0005135E">
        <w:rPr>
          <w:rFonts w:ascii="Times New Roman" w:hAnsi="Times New Roman"/>
          <w:i/>
          <w:iCs/>
          <w:noProof/>
          <w:sz w:val="24"/>
          <w:szCs w:val="24"/>
        </w:rPr>
        <w:t>Analisis Kecurangan Laporan Keuangan Melalui Fraud Hexagon Theory</w:t>
      </w:r>
      <w:r w:rsidR="006D77AE" w:rsidRPr="0005135E">
        <w:rPr>
          <w:rFonts w:ascii="Times New Roman" w:hAnsi="Times New Roman"/>
          <w:noProof/>
          <w:sz w:val="24"/>
          <w:szCs w:val="24"/>
        </w:rPr>
        <w:t>.</w:t>
      </w:r>
    </w:p>
    <w:p w:rsidR="00457B9A" w:rsidRPr="0005135E" w:rsidRDefault="00457B9A" w:rsidP="00457B9A">
      <w:pPr>
        <w:widowControl w:val="0"/>
        <w:autoSpaceDE w:val="0"/>
        <w:autoSpaceDN w:val="0"/>
        <w:adjustRightInd w:val="0"/>
        <w:ind w:left="480" w:hanging="480"/>
        <w:jc w:val="both"/>
        <w:rPr>
          <w:rFonts w:ascii="Times New Roman" w:hAnsi="Times New Roman"/>
          <w:noProof/>
          <w:sz w:val="24"/>
          <w:szCs w:val="24"/>
        </w:rPr>
      </w:pPr>
      <w:r w:rsidRPr="0005135E">
        <w:rPr>
          <w:rFonts w:ascii="Times New Roman" w:hAnsi="Times New Roman"/>
          <w:noProof/>
          <w:sz w:val="24"/>
          <w:szCs w:val="24"/>
        </w:rPr>
        <w:t xml:space="preserve">Nurhasanah, R., Nuridah, S., Puspita Audina, B., Martha Kusuma, P., &amp; Setyawati Melati Putri, E. (2024). Pengaruh Audit Tenure Terhadap Integritas Laporan Keuangan. </w:t>
      </w:r>
      <w:r w:rsidRPr="0005135E">
        <w:rPr>
          <w:rFonts w:ascii="Times New Roman" w:hAnsi="Times New Roman"/>
          <w:i/>
          <w:iCs/>
          <w:noProof/>
          <w:sz w:val="24"/>
          <w:szCs w:val="24"/>
        </w:rPr>
        <w:t>EKOMA : Jurnal Ekonomi</w:t>
      </w:r>
      <w:r w:rsidRPr="0005135E">
        <w:rPr>
          <w:rFonts w:ascii="Times New Roman" w:hAnsi="Times New Roman"/>
          <w:noProof/>
          <w:sz w:val="24"/>
          <w:szCs w:val="24"/>
        </w:rPr>
        <w:t xml:space="preserve">, </w:t>
      </w:r>
      <w:r w:rsidRPr="0005135E">
        <w:rPr>
          <w:rFonts w:ascii="Times New Roman" w:hAnsi="Times New Roman"/>
          <w:i/>
          <w:iCs/>
          <w:noProof/>
          <w:sz w:val="24"/>
          <w:szCs w:val="24"/>
        </w:rPr>
        <w:t>4</w:t>
      </w:r>
      <w:r w:rsidRPr="0005135E">
        <w:rPr>
          <w:rFonts w:ascii="Times New Roman" w:hAnsi="Times New Roman"/>
          <w:noProof/>
          <w:sz w:val="24"/>
          <w:szCs w:val="24"/>
        </w:rPr>
        <w:t>(1).</w:t>
      </w:r>
    </w:p>
    <w:p w:rsidR="00457B9A" w:rsidRPr="0005135E" w:rsidRDefault="00457B9A" w:rsidP="00457B9A">
      <w:pPr>
        <w:widowControl w:val="0"/>
        <w:autoSpaceDE w:val="0"/>
        <w:autoSpaceDN w:val="0"/>
        <w:adjustRightInd w:val="0"/>
        <w:ind w:left="480" w:hanging="480"/>
        <w:jc w:val="both"/>
        <w:rPr>
          <w:rFonts w:ascii="Times New Roman" w:hAnsi="Times New Roman"/>
          <w:noProof/>
          <w:sz w:val="24"/>
          <w:szCs w:val="24"/>
        </w:rPr>
      </w:pPr>
      <w:r w:rsidRPr="0005135E">
        <w:rPr>
          <w:rFonts w:ascii="Times New Roman" w:hAnsi="Times New Roman"/>
          <w:noProof/>
          <w:sz w:val="24"/>
          <w:szCs w:val="24"/>
        </w:rPr>
        <w:t xml:space="preserve">Pardede, E. T. N., &amp; Ratnawati, T. (2025). Pengaruh Reputasi KAP, Pertumbuhan Keuangan Perusahaan, Kompleksitas Operasi Perusahaan Terhadap Risiko Keuangan Dan Opini Audit Dengan Good Corporate Governance Sebagai Variabel Moderating. </w:t>
      </w:r>
      <w:r w:rsidRPr="0005135E">
        <w:rPr>
          <w:rFonts w:ascii="Times New Roman" w:hAnsi="Times New Roman"/>
          <w:i/>
          <w:iCs/>
          <w:noProof/>
          <w:sz w:val="24"/>
          <w:szCs w:val="24"/>
        </w:rPr>
        <w:t>EKOMA : Jurnal Ekonomi, Manajemen, Akuntansi</w:t>
      </w:r>
      <w:r w:rsidRPr="0005135E">
        <w:rPr>
          <w:rFonts w:ascii="Times New Roman" w:hAnsi="Times New Roman"/>
          <w:noProof/>
          <w:sz w:val="24"/>
          <w:szCs w:val="24"/>
        </w:rPr>
        <w:t xml:space="preserve">, </w:t>
      </w:r>
      <w:r w:rsidRPr="0005135E">
        <w:rPr>
          <w:rFonts w:ascii="Times New Roman" w:hAnsi="Times New Roman"/>
          <w:i/>
          <w:iCs/>
          <w:noProof/>
          <w:sz w:val="24"/>
          <w:szCs w:val="24"/>
        </w:rPr>
        <w:t>4</w:t>
      </w:r>
      <w:r w:rsidRPr="0005135E">
        <w:rPr>
          <w:rFonts w:ascii="Times New Roman" w:hAnsi="Times New Roman"/>
          <w:noProof/>
          <w:sz w:val="24"/>
          <w:szCs w:val="24"/>
        </w:rPr>
        <w:t>(3), 5833–5844. https://doi.org/10.56799/ekoma.v4i3.7160</w:t>
      </w:r>
    </w:p>
    <w:p w:rsidR="00457B9A" w:rsidRPr="0005135E" w:rsidRDefault="00457B9A" w:rsidP="00457B9A">
      <w:pPr>
        <w:widowControl w:val="0"/>
        <w:autoSpaceDE w:val="0"/>
        <w:autoSpaceDN w:val="0"/>
        <w:adjustRightInd w:val="0"/>
        <w:ind w:left="480" w:hanging="480"/>
        <w:jc w:val="both"/>
        <w:rPr>
          <w:rFonts w:ascii="Times New Roman" w:hAnsi="Times New Roman"/>
          <w:noProof/>
          <w:sz w:val="24"/>
          <w:szCs w:val="24"/>
        </w:rPr>
      </w:pPr>
      <w:r w:rsidRPr="0005135E">
        <w:rPr>
          <w:rFonts w:ascii="Times New Roman" w:hAnsi="Times New Roman"/>
          <w:noProof/>
          <w:sz w:val="24"/>
          <w:szCs w:val="24"/>
        </w:rPr>
        <w:t xml:space="preserve">Patinaja, E., &amp; Siahainenia, P. (2020). Pengaruh Ukuran Perusahaan, Opini Auditor dan </w:t>
      </w:r>
      <w:r w:rsidRPr="0005135E">
        <w:rPr>
          <w:rFonts w:ascii="Times New Roman" w:hAnsi="Times New Roman"/>
          <w:noProof/>
          <w:sz w:val="24"/>
          <w:szCs w:val="24"/>
        </w:rPr>
        <w:lastRenderedPageBreak/>
        <w:t xml:space="preserve">Umur Perusahaan Terhadap Audit Delay. </w:t>
      </w:r>
      <w:r w:rsidRPr="0005135E">
        <w:rPr>
          <w:rFonts w:ascii="Times New Roman" w:hAnsi="Times New Roman"/>
          <w:i/>
          <w:iCs/>
          <w:noProof/>
          <w:sz w:val="24"/>
          <w:szCs w:val="24"/>
        </w:rPr>
        <w:t>Accounting Research Unit (ARU Journal)</w:t>
      </w:r>
      <w:r w:rsidRPr="0005135E">
        <w:rPr>
          <w:rFonts w:ascii="Times New Roman" w:hAnsi="Times New Roman"/>
          <w:noProof/>
          <w:sz w:val="24"/>
          <w:szCs w:val="24"/>
        </w:rPr>
        <w:t xml:space="preserve">, </w:t>
      </w:r>
      <w:r w:rsidRPr="0005135E">
        <w:rPr>
          <w:rFonts w:ascii="Times New Roman" w:hAnsi="Times New Roman"/>
          <w:i/>
          <w:iCs/>
          <w:noProof/>
          <w:sz w:val="24"/>
          <w:szCs w:val="24"/>
        </w:rPr>
        <w:t>1</w:t>
      </w:r>
      <w:r w:rsidRPr="0005135E">
        <w:rPr>
          <w:rFonts w:ascii="Times New Roman" w:hAnsi="Times New Roman"/>
          <w:noProof/>
          <w:sz w:val="24"/>
          <w:szCs w:val="24"/>
        </w:rPr>
        <w:t>(1). https://doi.org/10.30598/arujournalvol1iss1pp13-22</w:t>
      </w:r>
    </w:p>
    <w:p w:rsidR="00457B9A" w:rsidRPr="0005135E" w:rsidRDefault="00457B9A" w:rsidP="00457B9A">
      <w:pPr>
        <w:widowControl w:val="0"/>
        <w:autoSpaceDE w:val="0"/>
        <w:autoSpaceDN w:val="0"/>
        <w:adjustRightInd w:val="0"/>
        <w:ind w:left="480" w:hanging="480"/>
        <w:jc w:val="both"/>
        <w:rPr>
          <w:rFonts w:ascii="Times New Roman" w:hAnsi="Times New Roman"/>
          <w:noProof/>
          <w:sz w:val="24"/>
          <w:szCs w:val="24"/>
        </w:rPr>
      </w:pPr>
      <w:r w:rsidRPr="0005135E">
        <w:rPr>
          <w:rFonts w:ascii="Times New Roman" w:hAnsi="Times New Roman"/>
          <w:noProof/>
          <w:sz w:val="24"/>
          <w:szCs w:val="24"/>
        </w:rPr>
        <w:t xml:space="preserve">Pratiwi, D. I., Ramadhan, R. R., &amp; Hastuti, D. (2025). Dilla+Indah+Pratiwi. </w:t>
      </w:r>
      <w:r w:rsidRPr="0005135E">
        <w:rPr>
          <w:rFonts w:ascii="Times New Roman" w:hAnsi="Times New Roman"/>
          <w:i/>
          <w:iCs/>
          <w:noProof/>
          <w:sz w:val="24"/>
          <w:szCs w:val="24"/>
        </w:rPr>
        <w:t>Jurnal Ilmiah Mahasiswa Merdeka EMBA</w:t>
      </w:r>
      <w:r w:rsidRPr="0005135E">
        <w:rPr>
          <w:rFonts w:ascii="Times New Roman" w:hAnsi="Times New Roman"/>
          <w:noProof/>
          <w:sz w:val="24"/>
          <w:szCs w:val="24"/>
        </w:rPr>
        <w:t>.</w:t>
      </w:r>
    </w:p>
    <w:p w:rsidR="00457B9A" w:rsidRPr="0005135E" w:rsidRDefault="00457B9A" w:rsidP="00457B9A">
      <w:pPr>
        <w:widowControl w:val="0"/>
        <w:autoSpaceDE w:val="0"/>
        <w:autoSpaceDN w:val="0"/>
        <w:adjustRightInd w:val="0"/>
        <w:ind w:left="480" w:hanging="480"/>
        <w:jc w:val="both"/>
        <w:rPr>
          <w:rFonts w:ascii="Times New Roman" w:hAnsi="Times New Roman"/>
          <w:noProof/>
          <w:sz w:val="24"/>
          <w:szCs w:val="24"/>
        </w:rPr>
      </w:pPr>
      <w:r w:rsidRPr="0005135E">
        <w:rPr>
          <w:rFonts w:ascii="Times New Roman" w:hAnsi="Times New Roman"/>
          <w:noProof/>
          <w:sz w:val="24"/>
          <w:szCs w:val="24"/>
        </w:rPr>
        <w:t xml:space="preserve">Purba, J., &amp; Fuadi, A. (2023). Pengaruh Intellectual Capital, Leverage, Audit Tenure dan Profitabilitas Terhadap Integritas Laporan Keuangan. </w:t>
      </w:r>
      <w:r w:rsidRPr="0005135E">
        <w:rPr>
          <w:rFonts w:ascii="Times New Roman" w:hAnsi="Times New Roman"/>
          <w:i/>
          <w:iCs/>
          <w:noProof/>
          <w:sz w:val="24"/>
          <w:szCs w:val="24"/>
        </w:rPr>
        <w:t>Jurnal Ilmiah Manajemen Kesatuan</w:t>
      </w:r>
      <w:r w:rsidRPr="0005135E">
        <w:rPr>
          <w:rFonts w:ascii="Times New Roman" w:hAnsi="Times New Roman"/>
          <w:noProof/>
          <w:sz w:val="24"/>
          <w:szCs w:val="24"/>
        </w:rPr>
        <w:t xml:space="preserve">, </w:t>
      </w:r>
      <w:r w:rsidRPr="0005135E">
        <w:rPr>
          <w:rFonts w:ascii="Times New Roman" w:hAnsi="Times New Roman"/>
          <w:i/>
          <w:iCs/>
          <w:noProof/>
          <w:sz w:val="24"/>
          <w:szCs w:val="24"/>
        </w:rPr>
        <w:t>11</w:t>
      </w:r>
      <w:r w:rsidRPr="0005135E">
        <w:rPr>
          <w:rFonts w:ascii="Times New Roman" w:hAnsi="Times New Roman"/>
          <w:noProof/>
          <w:sz w:val="24"/>
          <w:szCs w:val="24"/>
        </w:rPr>
        <w:t>(2), 257–266. https://doi.org/10.37641/jimkes.v11i2.1746</w:t>
      </w:r>
    </w:p>
    <w:p w:rsidR="00457B9A" w:rsidRPr="0005135E" w:rsidRDefault="00457B9A" w:rsidP="00457B9A">
      <w:pPr>
        <w:widowControl w:val="0"/>
        <w:autoSpaceDE w:val="0"/>
        <w:autoSpaceDN w:val="0"/>
        <w:adjustRightInd w:val="0"/>
        <w:ind w:left="480" w:hanging="480"/>
        <w:jc w:val="both"/>
        <w:rPr>
          <w:rFonts w:ascii="Times New Roman" w:hAnsi="Times New Roman"/>
          <w:noProof/>
          <w:sz w:val="24"/>
          <w:szCs w:val="24"/>
        </w:rPr>
      </w:pPr>
      <w:r w:rsidRPr="0005135E">
        <w:rPr>
          <w:rFonts w:ascii="Times New Roman" w:hAnsi="Times New Roman"/>
          <w:noProof/>
          <w:sz w:val="24"/>
          <w:szCs w:val="24"/>
        </w:rPr>
        <w:t xml:space="preserve">Qintharah, Y. N. (2020). Pengaruh Rotasi Audit, Kompleksitas Perusahaan dan Fee Audit terhadap Kualitas Audit Perusahaan Manufaktur Di Bursa Efek Indonesia. </w:t>
      </w:r>
      <w:r w:rsidRPr="0005135E">
        <w:rPr>
          <w:rFonts w:ascii="Times New Roman" w:hAnsi="Times New Roman"/>
          <w:i/>
          <w:iCs/>
          <w:noProof/>
          <w:sz w:val="24"/>
          <w:szCs w:val="24"/>
        </w:rPr>
        <w:t>Jurnal Ekonomi KIAT</w:t>
      </w:r>
      <w:r w:rsidRPr="0005135E">
        <w:rPr>
          <w:rFonts w:ascii="Times New Roman" w:hAnsi="Times New Roman"/>
          <w:noProof/>
          <w:sz w:val="24"/>
          <w:szCs w:val="24"/>
        </w:rPr>
        <w:t>.</w:t>
      </w:r>
    </w:p>
    <w:p w:rsidR="00457B9A" w:rsidRPr="0005135E" w:rsidRDefault="00457B9A" w:rsidP="00457B9A">
      <w:pPr>
        <w:widowControl w:val="0"/>
        <w:autoSpaceDE w:val="0"/>
        <w:autoSpaceDN w:val="0"/>
        <w:adjustRightInd w:val="0"/>
        <w:ind w:left="480" w:hanging="480"/>
        <w:jc w:val="both"/>
        <w:rPr>
          <w:rFonts w:ascii="Times New Roman" w:hAnsi="Times New Roman"/>
          <w:noProof/>
          <w:sz w:val="24"/>
          <w:szCs w:val="24"/>
        </w:rPr>
      </w:pPr>
      <w:r w:rsidRPr="0005135E">
        <w:rPr>
          <w:rFonts w:ascii="Times New Roman" w:hAnsi="Times New Roman"/>
          <w:noProof/>
          <w:sz w:val="24"/>
          <w:szCs w:val="24"/>
        </w:rPr>
        <w:t xml:space="preserve">Rahayu, I. Y., &amp; Susilowati, E. (2025). Presepsi Teori Fraud Hexagon Terhadap Fraudulent Financial Statement. </w:t>
      </w:r>
      <w:r w:rsidRPr="0005135E">
        <w:rPr>
          <w:rFonts w:ascii="Times New Roman" w:hAnsi="Times New Roman"/>
          <w:i/>
          <w:iCs/>
          <w:noProof/>
          <w:sz w:val="24"/>
          <w:szCs w:val="24"/>
        </w:rPr>
        <w:t>Jambura Economic Education Journal</w:t>
      </w:r>
      <w:r w:rsidRPr="0005135E">
        <w:rPr>
          <w:rFonts w:ascii="Times New Roman" w:hAnsi="Times New Roman"/>
          <w:noProof/>
          <w:sz w:val="24"/>
          <w:szCs w:val="24"/>
        </w:rPr>
        <w:t>.</w:t>
      </w:r>
    </w:p>
    <w:p w:rsidR="00457B9A" w:rsidRPr="0005135E" w:rsidRDefault="00457B9A" w:rsidP="00457B9A">
      <w:pPr>
        <w:widowControl w:val="0"/>
        <w:autoSpaceDE w:val="0"/>
        <w:autoSpaceDN w:val="0"/>
        <w:adjustRightInd w:val="0"/>
        <w:ind w:left="480" w:hanging="480"/>
        <w:jc w:val="both"/>
        <w:rPr>
          <w:rFonts w:ascii="Times New Roman" w:hAnsi="Times New Roman"/>
          <w:noProof/>
          <w:sz w:val="24"/>
          <w:szCs w:val="24"/>
        </w:rPr>
      </w:pPr>
      <w:r w:rsidRPr="0005135E">
        <w:rPr>
          <w:rFonts w:ascii="Times New Roman" w:hAnsi="Times New Roman"/>
          <w:noProof/>
          <w:sz w:val="24"/>
          <w:szCs w:val="24"/>
        </w:rPr>
        <w:t xml:space="preserve">Tarjo, T., Anggono, A., &amp; Sakti, E. (2021). Detecting Indications of Financial Statement Fraud: a Hexagon Fraud Theory Approach. </w:t>
      </w:r>
      <w:r w:rsidRPr="0005135E">
        <w:rPr>
          <w:rFonts w:ascii="Times New Roman" w:hAnsi="Times New Roman"/>
          <w:i/>
          <w:iCs/>
          <w:noProof/>
          <w:sz w:val="24"/>
          <w:szCs w:val="24"/>
        </w:rPr>
        <w:t>AKRUAL: Jurnal Akuntansi</w:t>
      </w:r>
      <w:r w:rsidRPr="0005135E">
        <w:rPr>
          <w:rFonts w:ascii="Times New Roman" w:hAnsi="Times New Roman"/>
          <w:noProof/>
          <w:sz w:val="24"/>
          <w:szCs w:val="24"/>
        </w:rPr>
        <w:t xml:space="preserve">, </w:t>
      </w:r>
      <w:r w:rsidRPr="0005135E">
        <w:rPr>
          <w:rFonts w:ascii="Times New Roman" w:hAnsi="Times New Roman"/>
          <w:i/>
          <w:iCs/>
          <w:noProof/>
          <w:sz w:val="24"/>
          <w:szCs w:val="24"/>
        </w:rPr>
        <w:t>13</w:t>
      </w:r>
      <w:r w:rsidRPr="0005135E">
        <w:rPr>
          <w:rFonts w:ascii="Times New Roman" w:hAnsi="Times New Roman"/>
          <w:noProof/>
          <w:sz w:val="24"/>
          <w:szCs w:val="24"/>
        </w:rPr>
        <w:t>(1), 119–131. https://doi.org/10.26740/jaj.v13n1.p119-131</w:t>
      </w:r>
    </w:p>
    <w:p w:rsidR="00457B9A" w:rsidRPr="0005135E" w:rsidRDefault="00457B9A" w:rsidP="00457B9A">
      <w:pPr>
        <w:widowControl w:val="0"/>
        <w:autoSpaceDE w:val="0"/>
        <w:autoSpaceDN w:val="0"/>
        <w:adjustRightInd w:val="0"/>
        <w:ind w:left="480" w:hanging="480"/>
        <w:jc w:val="both"/>
        <w:rPr>
          <w:rFonts w:ascii="Times New Roman" w:hAnsi="Times New Roman"/>
          <w:noProof/>
          <w:sz w:val="24"/>
          <w:szCs w:val="24"/>
        </w:rPr>
      </w:pPr>
      <w:r w:rsidRPr="0005135E">
        <w:rPr>
          <w:rFonts w:ascii="Times New Roman" w:hAnsi="Times New Roman"/>
          <w:noProof/>
          <w:sz w:val="24"/>
          <w:szCs w:val="24"/>
        </w:rPr>
        <w:t xml:space="preserve">Wiyandari, R. P., &amp; Susilowati, E. (2025). Analisis Akuntabilitas dan Transparansi Keuangan sebagai Bentuk Pencegahan Korupsi pada Perusahaan Publik dalam Perspektif Keberlanjutan Sosial dan SDGs. </w:t>
      </w:r>
      <w:r w:rsidR="00F12617" w:rsidRPr="0005135E">
        <w:rPr>
          <w:rFonts w:ascii="Times New Roman" w:hAnsi="Times New Roman"/>
          <w:i/>
          <w:iCs/>
          <w:noProof/>
          <w:sz w:val="24"/>
          <w:szCs w:val="24"/>
        </w:rPr>
        <w:t>Behavioral Accounting Jurnal</w:t>
      </w:r>
      <w:r w:rsidR="00F12617" w:rsidRPr="0005135E">
        <w:rPr>
          <w:rFonts w:ascii="Times New Roman" w:hAnsi="Times New Roman"/>
          <w:noProof/>
          <w:sz w:val="24"/>
          <w:szCs w:val="24"/>
        </w:rPr>
        <w:t>.</w:t>
      </w:r>
    </w:p>
    <w:p w:rsidR="00457B9A" w:rsidRPr="0005135E" w:rsidRDefault="00457B9A" w:rsidP="00457B9A">
      <w:pPr>
        <w:widowControl w:val="0"/>
        <w:autoSpaceDE w:val="0"/>
        <w:autoSpaceDN w:val="0"/>
        <w:adjustRightInd w:val="0"/>
        <w:ind w:left="480" w:hanging="480"/>
        <w:jc w:val="both"/>
        <w:rPr>
          <w:rFonts w:ascii="Times New Roman" w:hAnsi="Times New Roman"/>
          <w:noProof/>
          <w:sz w:val="24"/>
        </w:rPr>
      </w:pPr>
      <w:r w:rsidRPr="0005135E">
        <w:rPr>
          <w:rFonts w:ascii="Times New Roman" w:hAnsi="Times New Roman"/>
          <w:noProof/>
          <w:sz w:val="24"/>
          <w:szCs w:val="24"/>
        </w:rPr>
        <w:t xml:space="preserve">Yaramah, W., &amp; Hidayat, I. (2022). 5885-15831-1-PB. </w:t>
      </w:r>
      <w:r w:rsidRPr="0005135E">
        <w:rPr>
          <w:rFonts w:ascii="Times New Roman" w:hAnsi="Times New Roman"/>
          <w:i/>
          <w:iCs/>
          <w:noProof/>
          <w:sz w:val="24"/>
          <w:szCs w:val="24"/>
        </w:rPr>
        <w:t>Competitive Jurnal Akuntansi Dan Keuangan</w:t>
      </w:r>
      <w:r w:rsidRPr="0005135E">
        <w:rPr>
          <w:rFonts w:ascii="Times New Roman" w:hAnsi="Times New Roman"/>
          <w:noProof/>
          <w:sz w:val="24"/>
          <w:szCs w:val="24"/>
        </w:rPr>
        <w:t>.</w:t>
      </w:r>
    </w:p>
    <w:p w:rsidR="00FE3B72" w:rsidRPr="006D77AE" w:rsidRDefault="00457B9A" w:rsidP="006D77AE">
      <w:pPr>
        <w:pStyle w:val="Heading6"/>
        <w:ind w:left="0" w:firstLine="0"/>
        <w:jc w:val="both"/>
        <w:rPr>
          <w:rFonts w:ascii="Times New Roman" w:hAnsi="Times New Roman"/>
          <w:sz w:val="24"/>
          <w:lang w:val="en-US"/>
        </w:rPr>
      </w:pPr>
      <w:r w:rsidRPr="0005135E">
        <w:rPr>
          <w:rFonts w:ascii="Times New Roman" w:hAnsi="Times New Roman"/>
          <w:sz w:val="24"/>
          <w:lang w:val="en-US"/>
        </w:rPr>
        <w:fldChar w:fldCharType="end"/>
      </w:r>
    </w:p>
    <w:sectPr w:rsidR="00FE3B72" w:rsidRPr="006D77AE" w:rsidSect="009B654B">
      <w:headerReference w:type="default" r:id="rId8"/>
      <w:footerReference w:type="even" r:id="rId9"/>
      <w:footerReference w:type="default" r:id="rId10"/>
      <w:headerReference w:type="first" r:id="rId11"/>
      <w:pgSz w:w="11907" w:h="16839"/>
      <w:pgMar w:top="1701" w:right="1701" w:bottom="1701" w:left="1701" w:header="850" w:footer="567" w:gutter="0"/>
      <w:pgNumType w:start="5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81B32" w:rsidRDefault="00B81B32">
      <w:r>
        <w:separator/>
      </w:r>
    </w:p>
  </w:endnote>
  <w:endnote w:type="continuationSeparator" w:id="0">
    <w:p w:rsidR="00B81B32" w:rsidRDefault="00B81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no Pro">
    <w:altName w:val="Calibri"/>
    <w:panose1 w:val="020B0604020202020204"/>
    <w:charset w:val="00"/>
    <w:family w:val="roman"/>
    <w:pitch w:val="variable"/>
    <w:sig w:usb0="00000001" w:usb1="00000001" w:usb2="00000000" w:usb3="00000000" w:csb0="0000019F"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Lustria">
    <w:altName w:val="Calibri"/>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6446" w:rsidRDefault="00000000">
    <w:pPr>
      <w:pBdr>
        <w:top w:val="nil"/>
        <w:left w:val="nil"/>
        <w:bottom w:val="nil"/>
        <w:right w:val="nil"/>
        <w:between w:val="nil"/>
      </w:pBdr>
      <w:tabs>
        <w:tab w:val="center" w:pos="4680"/>
        <w:tab w:val="right" w:pos="9360"/>
      </w:tabs>
      <w:jc w:val="right"/>
      <w:rPr>
        <w:rFonts w:eastAsia="Arno Pro" w:cs="Arno Pro"/>
        <w:color w:val="000000"/>
        <w:szCs w:val="20"/>
      </w:rPr>
    </w:pPr>
    <w:r>
      <w:rPr>
        <w:rFonts w:eastAsia="Arno Pro" w:cs="Arno Pro"/>
        <w:color w:val="000000"/>
        <w:szCs w:val="20"/>
      </w:rPr>
      <w:fldChar w:fldCharType="begin"/>
    </w:r>
    <w:r>
      <w:rPr>
        <w:rFonts w:eastAsia="Arno Pro" w:cs="Arno Pro"/>
        <w:color w:val="000000"/>
        <w:szCs w:val="20"/>
      </w:rPr>
      <w:instrText>PAGE</w:instrText>
    </w:r>
    <w:r>
      <w:rPr>
        <w:rFonts w:eastAsia="Arno Pro" w:cs="Arno Pro"/>
        <w:color w:val="000000"/>
        <w:szCs w:val="20"/>
      </w:rPr>
      <w:fldChar w:fldCharType="end"/>
    </w:r>
  </w:p>
  <w:p w:rsidR="00AE6446" w:rsidRDefault="00000000">
    <w:pPr>
      <w:pBdr>
        <w:top w:val="nil"/>
        <w:left w:val="nil"/>
        <w:bottom w:val="nil"/>
        <w:right w:val="nil"/>
        <w:between w:val="nil"/>
      </w:pBdr>
      <w:tabs>
        <w:tab w:val="center" w:pos="4680"/>
        <w:tab w:val="right" w:pos="9360"/>
      </w:tabs>
      <w:ind w:right="360"/>
      <w:rPr>
        <w:rFonts w:eastAsia="Arno Pro" w:cs="Arno Pro"/>
        <w:color w:val="00000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31815574"/>
      <w:docPartObj>
        <w:docPartGallery w:val="Page Numbers (Bottom of Page)"/>
        <w:docPartUnique/>
      </w:docPartObj>
    </w:sdtPr>
    <w:sdtContent>
      <w:p w:rsidR="009B654B" w:rsidRDefault="009B654B" w:rsidP="009B654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539</w:t>
        </w:r>
        <w:r>
          <w:rPr>
            <w:rStyle w:val="PageNumber"/>
          </w:rPr>
          <w:fldChar w:fldCharType="end"/>
        </w:r>
      </w:p>
    </w:sdtContent>
  </w:sdt>
  <w:p w:rsidR="009B654B" w:rsidRDefault="009B654B" w:rsidP="009B654B">
    <w:pPr>
      <w:pBdr>
        <w:top w:val="single" w:sz="4" w:space="1" w:color="auto"/>
      </w:pBdr>
      <w:jc w:val="left"/>
      <w:rPr>
        <w:rFonts w:ascii="Times New Roman" w:hAnsi="Times New Roman"/>
        <w:sz w:val="22"/>
      </w:rPr>
    </w:pPr>
    <w:r w:rsidRPr="006C55FE">
      <w:rPr>
        <w:rFonts w:ascii="Times New Roman" w:hAnsi="Times New Roman"/>
        <w:sz w:val="22"/>
      </w:rPr>
      <w:t>International Journal of Accounting, Management, Economics and Social Sciences.</w:t>
    </w:r>
  </w:p>
  <w:p w:rsidR="009B654B" w:rsidRDefault="009B654B" w:rsidP="009B654B">
    <w:pPr>
      <w:pBdr>
        <w:top w:val="single" w:sz="4" w:space="1" w:color="auto"/>
      </w:pBdr>
      <w:jc w:val="left"/>
      <w:rPr>
        <w:rFonts w:ascii="Times New Roman" w:hAnsi="Times New Roman"/>
        <w:sz w:val="22"/>
      </w:rPr>
    </w:pPr>
    <w:r w:rsidRPr="006C55FE">
      <w:rPr>
        <w:rFonts w:ascii="Times New Roman" w:hAnsi="Times New Roman"/>
        <w:sz w:val="22"/>
      </w:rPr>
      <w:t>IJAMESC, PT. ZILLZELL MEDIA PRIMA, 2026.</w:t>
    </w:r>
  </w:p>
  <w:p w:rsidR="00AE6446" w:rsidRDefault="00000000">
    <w:pPr>
      <w:ind w:right="360"/>
      <w:jc w:val="left"/>
      <w:rPr>
        <w:rFonts w:ascii="Times New Roman" w:hAnsi="Times New Roman"/>
        <w:sz w:val="22"/>
      </w:rPr>
    </w:pPr>
  </w:p>
  <w:p w:rsidR="009B654B" w:rsidRPr="00AC1A8A" w:rsidRDefault="009B654B">
    <w:pPr>
      <w:ind w:right="360"/>
      <w:jc w:val="left"/>
      <w:rPr>
        <w:rFonts w:ascii="Times New Roman" w:eastAsia="Times New Roman" w:hAnsi="Times New Roman"/>
        <w:sz w:val="22"/>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81B32" w:rsidRDefault="00B81B32">
      <w:r>
        <w:separator/>
      </w:r>
    </w:p>
  </w:footnote>
  <w:footnote w:type="continuationSeparator" w:id="0">
    <w:p w:rsidR="00B81B32" w:rsidRDefault="00B81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654B" w:rsidRPr="002E4B90" w:rsidRDefault="009B654B" w:rsidP="009B654B">
    <w:pPr>
      <w:tabs>
        <w:tab w:val="center" w:pos="4252"/>
      </w:tabs>
      <w:jc w:val="both"/>
      <w:rPr>
        <w:rStyle w:val="Hyperlink"/>
        <w:rFonts w:ascii="Times New Roman" w:hAnsi="Times New Roman"/>
        <w:sz w:val="22"/>
      </w:rPr>
    </w:pPr>
    <w:r w:rsidRPr="002E4B90">
      <w:rPr>
        <w:rFonts w:ascii="Times New Roman" w:hAnsi="Times New Roman"/>
        <w:noProof/>
        <w:color w:val="0000FF"/>
        <w:sz w:val="22"/>
        <w:u w:val="thick" w:color="0000FF"/>
      </w:rPr>
      <w:drawing>
        <wp:anchor distT="0" distB="0" distL="114300" distR="114300" simplePos="0" relativeHeight="251660288" behindDoc="1" locked="0" layoutInCell="1" allowOverlap="1" wp14:anchorId="7616D9F6" wp14:editId="65B4BB09">
          <wp:simplePos x="0" y="0"/>
          <wp:positionH relativeFrom="column">
            <wp:posOffset>4220845</wp:posOffset>
          </wp:positionH>
          <wp:positionV relativeFrom="paragraph">
            <wp:posOffset>-182880</wp:posOffset>
          </wp:positionV>
          <wp:extent cx="1184910" cy="36068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184910" cy="360680"/>
                  </a:xfrm>
                  <a:prstGeom prst="rect">
                    <a:avLst/>
                  </a:prstGeom>
                </pic:spPr>
              </pic:pic>
            </a:graphicData>
          </a:graphic>
          <wp14:sizeRelH relativeFrom="page">
            <wp14:pctWidth>0</wp14:pctWidth>
          </wp14:sizeRelH>
          <wp14:sizeRelV relativeFrom="page">
            <wp14:pctHeight>0</wp14:pctHeight>
          </wp14:sizeRelV>
        </wp:anchor>
      </w:drawing>
    </w:r>
    <w:r w:rsidRPr="002E4B90">
      <w:rPr>
        <w:rFonts w:ascii="Times New Roman" w:hAnsi="Times New Roman"/>
        <w:noProof/>
        <w:color w:val="0000FF"/>
        <w:sz w:val="22"/>
        <w:u w:val="thick" w:color="0000FF"/>
      </w:rPr>
      <w:drawing>
        <wp:anchor distT="0" distB="0" distL="114300" distR="114300" simplePos="0" relativeHeight="251659264" behindDoc="1" locked="0" layoutInCell="1" allowOverlap="1" wp14:anchorId="61782E18" wp14:editId="5A8D4926">
          <wp:simplePos x="0" y="0"/>
          <wp:positionH relativeFrom="column">
            <wp:posOffset>3045460</wp:posOffset>
          </wp:positionH>
          <wp:positionV relativeFrom="paragraph">
            <wp:posOffset>-275428</wp:posOffset>
          </wp:positionV>
          <wp:extent cx="1187450" cy="47498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1187450" cy="474980"/>
                  </a:xfrm>
                  <a:prstGeom prst="rect">
                    <a:avLst/>
                  </a:prstGeom>
                </pic:spPr>
              </pic:pic>
            </a:graphicData>
          </a:graphic>
          <wp14:sizeRelH relativeFrom="page">
            <wp14:pctWidth>0</wp14:pctWidth>
          </wp14:sizeRelH>
          <wp14:sizeRelV relativeFrom="page">
            <wp14:pctHeight>0</wp14:pctHeight>
          </wp14:sizeRelV>
        </wp:anchor>
      </w:drawing>
    </w:r>
    <w:r w:rsidRPr="002E4B90">
      <w:rPr>
        <w:rFonts w:ascii="Times New Roman" w:hAnsi="Times New Roman"/>
        <w:sz w:val="22"/>
      </w:rPr>
      <w:t xml:space="preserve">IJAMESC, Vol. 4 No. 2, April 2026 </w:t>
    </w:r>
    <w:r w:rsidRPr="002E4B90">
      <w:rPr>
        <w:rFonts w:ascii="Times New Roman" w:hAnsi="Times New Roman"/>
        <w:sz w:val="22"/>
      </w:rPr>
      <w:tab/>
    </w:r>
  </w:p>
  <w:p w:rsidR="00AE6446" w:rsidRPr="00AC1A8A" w:rsidRDefault="009B654B" w:rsidP="009B654B">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505"/>
      </w:tabs>
      <w:jc w:val="left"/>
      <w:rPr>
        <w:lang w:val="it-IT"/>
      </w:rPr>
    </w:pPr>
    <w:r w:rsidRPr="002E4B90">
      <w:rPr>
        <w:rFonts w:ascii="Times New Roman" w:hAnsi="Times New Roman"/>
        <w:sz w:val="22"/>
        <w:lang w:eastAsia="x-none"/>
      </w:rPr>
      <w:t xml:space="preserve">DOI: </w:t>
    </w:r>
    <w:hyperlink r:id="rId3" w:history="1">
      <w:r w:rsidR="00285E24" w:rsidRPr="00DC1312">
        <w:rPr>
          <w:rStyle w:val="Hyperlink"/>
          <w:rFonts w:ascii="Times New Roman" w:hAnsi="Times New Roman"/>
          <w:sz w:val="22"/>
        </w:rPr>
        <w:t>https://doi.org/10.61990/ijamesc.v4i2.747</w:t>
      </w:r>
    </w:hyperlink>
    <w:r w:rsidRPr="002E4B90">
      <w:rPr>
        <w:rFonts w:ascii="Times New Roman" w:hAnsi="Times New Roman"/>
        <w:sz w:val="22"/>
        <w:u w:color="0000FF"/>
      </w:rPr>
      <w:tab/>
    </w:r>
    <w:r w:rsidRPr="002E4B90">
      <w:rPr>
        <w:rFonts w:ascii="Times New Roman" w:hAnsi="Times New Roman"/>
        <w:sz w:val="22"/>
        <w:u w:color="0000FF"/>
      </w:rPr>
      <w:tab/>
    </w:r>
    <w:r w:rsidRPr="002E4B90">
      <w:rPr>
        <w:rFonts w:ascii="Times New Roman" w:hAnsi="Times New Roman"/>
        <w:sz w:val="22"/>
        <w:u w:color="0000FF"/>
      </w:rPr>
      <w:tab/>
    </w:r>
    <w:r w:rsidRPr="002E4B90">
      <w:rPr>
        <w:rFonts w:ascii="Times New Roman" w:hAnsi="Times New Roman"/>
        <w:sz w:val="22"/>
        <w:u w:color="0000FF"/>
      </w:rPr>
      <w:tab/>
      <w:t xml:space="preserve">      </w:t>
    </w:r>
    <w:r w:rsidRPr="002E4B90">
      <w:rPr>
        <w:rFonts w:ascii="Times New Roman" w:hAnsi="Times New Roman"/>
        <w:sz w:val="22"/>
      </w:rPr>
      <w:t xml:space="preserve">e-ISSN </w:t>
    </w:r>
    <w:hyperlink r:id="rId4" w:tgtFrame="_blank" w:history="1">
      <w:r w:rsidRPr="002E4B90">
        <w:rPr>
          <w:rStyle w:val="Hyperlink"/>
          <w:rFonts w:ascii="Times New Roman" w:hAnsi="Times New Roman"/>
          <w:sz w:val="22"/>
        </w:rPr>
        <w:t>2986-8645</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6446" w:rsidRDefault="00000000">
    <w:pPr>
      <w:pBdr>
        <w:top w:val="nil"/>
        <w:left w:val="nil"/>
        <w:bottom w:val="nil"/>
        <w:right w:val="nil"/>
        <w:between w:val="nil"/>
      </w:pBdr>
      <w:tabs>
        <w:tab w:val="center" w:pos="4680"/>
        <w:tab w:val="right" w:pos="9360"/>
      </w:tabs>
      <w:rPr>
        <w:rFonts w:ascii="Lustria" w:eastAsia="Lustria" w:hAnsi="Lustria" w:cs="Lustria"/>
        <w:color w:val="000000"/>
        <w:sz w:val="18"/>
        <w:szCs w:val="18"/>
      </w:rPr>
    </w:pPr>
  </w:p>
  <w:p w:rsidR="00AE6446" w:rsidRDefault="00000000">
    <w:pPr>
      <w:pBdr>
        <w:top w:val="nil"/>
        <w:left w:val="nil"/>
        <w:bottom w:val="nil"/>
        <w:right w:val="nil"/>
        <w:between w:val="nil"/>
      </w:pBdr>
      <w:tabs>
        <w:tab w:val="center" w:pos="4680"/>
        <w:tab w:val="right" w:pos="9360"/>
      </w:tabs>
      <w:rPr>
        <w:rFonts w:ascii="Lustria" w:eastAsia="Lustria" w:hAnsi="Lustria" w:cs="Lustria"/>
        <w:color w:val="000000"/>
        <w:sz w:val="18"/>
        <w:szCs w:val="18"/>
      </w:rPr>
    </w:pPr>
    <w:proofErr w:type="spellStart"/>
    <w:r>
      <w:rPr>
        <w:rFonts w:eastAsia="Arno Pro" w:cs="Arno Pro"/>
        <w:color w:val="000000"/>
        <w:sz w:val="18"/>
        <w:szCs w:val="18"/>
      </w:rPr>
      <w:t>Ika</w:t>
    </w:r>
    <w:proofErr w:type="spellEnd"/>
    <w:r>
      <w:rPr>
        <w:rFonts w:eastAsia="Arno Pro" w:cs="Arno Pro"/>
        <w:color w:val="000000"/>
        <w:sz w:val="18"/>
        <w:szCs w:val="18"/>
      </w:rPr>
      <w:t xml:space="preserve"> </w:t>
    </w:r>
    <w:proofErr w:type="spellStart"/>
    <w:r>
      <w:rPr>
        <w:rFonts w:eastAsia="Arno Pro" w:cs="Arno Pro"/>
        <w:color w:val="000000"/>
        <w:sz w:val="18"/>
        <w:szCs w:val="18"/>
      </w:rPr>
      <w:t>Octavianti</w:t>
    </w:r>
    <w:proofErr w:type="spellEnd"/>
    <w:r>
      <w:rPr>
        <w:rFonts w:eastAsia="Arno Pro" w:cs="Arno Pro"/>
        <w:color w:val="000000"/>
        <w:sz w:val="18"/>
        <w:szCs w:val="18"/>
      </w:rPr>
      <w:t xml:space="preserve"> / Journal of Economic Education 1 (2)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35A0"/>
    <w:multiLevelType w:val="multilevel"/>
    <w:tmpl w:val="CFCA2A3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B782736"/>
    <w:multiLevelType w:val="multilevel"/>
    <w:tmpl w:val="A4C47194"/>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0055121">
    <w:abstractNumId w:val="0"/>
  </w:num>
  <w:num w:numId="2" w16cid:durableId="378088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B9A"/>
    <w:rsid w:val="00022DCC"/>
    <w:rsid w:val="00285E24"/>
    <w:rsid w:val="00371A31"/>
    <w:rsid w:val="004361FB"/>
    <w:rsid w:val="00457B9A"/>
    <w:rsid w:val="005F7B80"/>
    <w:rsid w:val="00645FE3"/>
    <w:rsid w:val="006D77AE"/>
    <w:rsid w:val="006E4447"/>
    <w:rsid w:val="0072094A"/>
    <w:rsid w:val="009B654B"/>
    <w:rsid w:val="00B81B32"/>
    <w:rsid w:val="00CA4C71"/>
    <w:rsid w:val="00F02C1D"/>
    <w:rsid w:val="00F12617"/>
    <w:rsid w:val="00FE3B7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585CE073"/>
  <w15:chartTrackingRefBased/>
  <w15:docId w15:val="{473BFC26-0477-3E45-A031-18E195231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57B9A"/>
    <w:pPr>
      <w:jc w:val="center"/>
    </w:pPr>
    <w:rPr>
      <w:rFonts w:ascii="Arno Pro" w:eastAsia="Calibri" w:hAnsi="Arno Pro" w:cs="Times New Roman"/>
      <w:sz w:val="20"/>
      <w:szCs w:val="22"/>
      <w:lang w:val="en-US"/>
    </w:rPr>
  </w:style>
  <w:style w:type="paragraph" w:styleId="Heading1">
    <w:name w:val="heading 1"/>
    <w:aliases w:val="Abstrak Indo"/>
    <w:basedOn w:val="Normal"/>
    <w:next w:val="Normal"/>
    <w:link w:val="Heading1Char"/>
    <w:uiPriority w:val="9"/>
    <w:qFormat/>
    <w:rsid w:val="00457B9A"/>
    <w:pPr>
      <w:suppressAutoHyphens/>
      <w:spacing w:line="288" w:lineRule="auto"/>
      <w:jc w:val="both"/>
      <w:outlineLvl w:val="0"/>
    </w:pPr>
    <w:rPr>
      <w:rFonts w:ascii="Calisto MT" w:hAnsi="Calisto MT"/>
      <w:sz w:val="18"/>
      <w:szCs w:val="20"/>
      <w:lang w:val="id-ID" w:eastAsia="x-none"/>
    </w:rPr>
  </w:style>
  <w:style w:type="paragraph" w:styleId="Heading3">
    <w:name w:val="heading 3"/>
    <w:aliases w:val="BAB+"/>
    <w:basedOn w:val="Normal"/>
    <w:next w:val="Normal"/>
    <w:link w:val="Heading3Char"/>
    <w:uiPriority w:val="9"/>
    <w:unhideWhenUsed/>
    <w:qFormat/>
    <w:rsid w:val="00457B9A"/>
    <w:pPr>
      <w:suppressAutoHyphens/>
      <w:autoSpaceDE w:val="0"/>
      <w:autoSpaceDN w:val="0"/>
      <w:adjustRightInd w:val="0"/>
      <w:spacing w:line="288" w:lineRule="auto"/>
      <w:textAlignment w:val="center"/>
      <w:outlineLvl w:val="2"/>
    </w:pPr>
    <w:rPr>
      <w:b/>
      <w:caps/>
      <w:color w:val="000000"/>
      <w:sz w:val="24"/>
      <w:szCs w:val="20"/>
      <w:lang w:val="id-ID" w:eastAsia="x-none"/>
    </w:rPr>
  </w:style>
  <w:style w:type="paragraph" w:styleId="Heading4">
    <w:name w:val="heading 4"/>
    <w:aliases w:val="ISI+"/>
    <w:link w:val="Heading4Char"/>
    <w:uiPriority w:val="9"/>
    <w:unhideWhenUsed/>
    <w:qFormat/>
    <w:rsid w:val="00457B9A"/>
    <w:pPr>
      <w:suppressAutoHyphens/>
      <w:ind w:firstLine="567"/>
      <w:jc w:val="both"/>
      <w:outlineLvl w:val="3"/>
    </w:pPr>
    <w:rPr>
      <w:rFonts w:ascii="Arno Pro" w:eastAsia="Calibri" w:hAnsi="Arno Pro" w:cs="Times New Roman"/>
      <w:color w:val="000000"/>
      <w:sz w:val="20"/>
      <w:szCs w:val="20"/>
      <w:lang w:val="id-ID"/>
    </w:rPr>
  </w:style>
  <w:style w:type="paragraph" w:styleId="Heading6">
    <w:name w:val="heading 6"/>
    <w:aliases w:val="Daftar Pustaka"/>
    <w:basedOn w:val="Normal"/>
    <w:link w:val="Heading6Char"/>
    <w:uiPriority w:val="9"/>
    <w:unhideWhenUsed/>
    <w:qFormat/>
    <w:rsid w:val="00457B9A"/>
    <w:pPr>
      <w:autoSpaceDE w:val="0"/>
      <w:autoSpaceDN w:val="0"/>
      <w:adjustRightInd w:val="0"/>
      <w:ind w:left="567" w:hanging="567"/>
      <w:jc w:val="left"/>
      <w:textAlignment w:val="center"/>
      <w:outlineLvl w:val="5"/>
    </w:pPr>
    <w:rPr>
      <w:rFonts w:ascii="Calisto MT" w:eastAsia="Times New Roman" w:hAnsi="Calisto MT"/>
      <w:color w:val="000000"/>
      <w:sz w:val="18"/>
      <w:szCs w:val="24"/>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bstrak Indo Char"/>
    <w:basedOn w:val="DefaultParagraphFont"/>
    <w:link w:val="Heading1"/>
    <w:uiPriority w:val="9"/>
    <w:rsid w:val="00457B9A"/>
    <w:rPr>
      <w:rFonts w:ascii="Calisto MT" w:eastAsia="Calibri" w:hAnsi="Calisto MT" w:cs="Times New Roman"/>
      <w:sz w:val="18"/>
      <w:szCs w:val="20"/>
      <w:lang w:val="id-ID" w:eastAsia="x-none"/>
    </w:rPr>
  </w:style>
  <w:style w:type="character" w:customStyle="1" w:styleId="Heading3Char">
    <w:name w:val="Heading 3 Char"/>
    <w:aliases w:val="BAB+ Char"/>
    <w:basedOn w:val="DefaultParagraphFont"/>
    <w:link w:val="Heading3"/>
    <w:uiPriority w:val="9"/>
    <w:rsid w:val="00457B9A"/>
    <w:rPr>
      <w:rFonts w:ascii="Arno Pro" w:eastAsia="Calibri" w:hAnsi="Arno Pro" w:cs="Times New Roman"/>
      <w:b/>
      <w:caps/>
      <w:color w:val="000000"/>
      <w:szCs w:val="20"/>
      <w:lang w:val="id-ID" w:eastAsia="x-none"/>
    </w:rPr>
  </w:style>
  <w:style w:type="character" w:customStyle="1" w:styleId="Heading4Char">
    <w:name w:val="Heading 4 Char"/>
    <w:aliases w:val="ISI+ Char"/>
    <w:basedOn w:val="DefaultParagraphFont"/>
    <w:link w:val="Heading4"/>
    <w:uiPriority w:val="9"/>
    <w:rsid w:val="00457B9A"/>
    <w:rPr>
      <w:rFonts w:ascii="Arno Pro" w:eastAsia="Calibri" w:hAnsi="Arno Pro" w:cs="Times New Roman"/>
      <w:color w:val="000000"/>
      <w:sz w:val="20"/>
      <w:szCs w:val="20"/>
      <w:lang w:val="id-ID"/>
    </w:rPr>
  </w:style>
  <w:style w:type="character" w:customStyle="1" w:styleId="Heading6Char">
    <w:name w:val="Heading 6 Char"/>
    <w:aliases w:val="Daftar Pustaka Char"/>
    <w:basedOn w:val="DefaultParagraphFont"/>
    <w:link w:val="Heading6"/>
    <w:uiPriority w:val="9"/>
    <w:rsid w:val="00457B9A"/>
    <w:rPr>
      <w:rFonts w:ascii="Calisto MT" w:eastAsia="Times New Roman" w:hAnsi="Calisto MT" w:cs="Times New Roman"/>
      <w:color w:val="000000"/>
      <w:sz w:val="18"/>
      <w:lang w:val="en-GB" w:eastAsia="x-none"/>
    </w:rPr>
  </w:style>
  <w:style w:type="character" w:styleId="Hyperlink">
    <w:name w:val="Hyperlink"/>
    <w:uiPriority w:val="99"/>
    <w:rsid w:val="00457B9A"/>
    <w:rPr>
      <w:color w:val="0000FF"/>
      <w:w w:val="100"/>
      <w:u w:val="thick" w:color="0000FF"/>
    </w:rPr>
  </w:style>
  <w:style w:type="table" w:customStyle="1" w:styleId="TableGrid1">
    <w:name w:val="Table Grid1"/>
    <w:basedOn w:val="TableNormal"/>
    <w:next w:val="TableGrid"/>
    <w:uiPriority w:val="39"/>
    <w:rsid w:val="00457B9A"/>
    <w:rPr>
      <w:kern w:val="2"/>
      <w:sz w:val="22"/>
      <w:szCs w:val="22"/>
      <w:lang w:val="id-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57B9A"/>
    <w:pPr>
      <w:spacing w:after="200"/>
    </w:pPr>
    <w:rPr>
      <w:i/>
      <w:iCs/>
      <w:color w:val="44546A" w:themeColor="text2"/>
      <w:sz w:val="18"/>
      <w:szCs w:val="18"/>
    </w:rPr>
  </w:style>
  <w:style w:type="table" w:styleId="TableGrid">
    <w:name w:val="Table Grid"/>
    <w:basedOn w:val="TableNormal"/>
    <w:uiPriority w:val="39"/>
    <w:rsid w:val="00457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654B"/>
    <w:pPr>
      <w:tabs>
        <w:tab w:val="center" w:pos="4680"/>
        <w:tab w:val="right" w:pos="9360"/>
      </w:tabs>
    </w:pPr>
  </w:style>
  <w:style w:type="character" w:customStyle="1" w:styleId="HeaderChar">
    <w:name w:val="Header Char"/>
    <w:basedOn w:val="DefaultParagraphFont"/>
    <w:link w:val="Header"/>
    <w:uiPriority w:val="99"/>
    <w:rsid w:val="009B654B"/>
    <w:rPr>
      <w:rFonts w:ascii="Arno Pro" w:eastAsia="Calibri" w:hAnsi="Arno Pro" w:cs="Times New Roman"/>
      <w:sz w:val="20"/>
      <w:szCs w:val="22"/>
      <w:lang w:val="en-US"/>
    </w:rPr>
  </w:style>
  <w:style w:type="paragraph" w:styleId="Footer">
    <w:name w:val="footer"/>
    <w:basedOn w:val="Normal"/>
    <w:link w:val="FooterChar"/>
    <w:uiPriority w:val="99"/>
    <w:unhideWhenUsed/>
    <w:rsid w:val="009B654B"/>
    <w:pPr>
      <w:tabs>
        <w:tab w:val="center" w:pos="4680"/>
        <w:tab w:val="right" w:pos="9360"/>
      </w:tabs>
    </w:pPr>
  </w:style>
  <w:style w:type="character" w:customStyle="1" w:styleId="FooterChar">
    <w:name w:val="Footer Char"/>
    <w:basedOn w:val="DefaultParagraphFont"/>
    <w:link w:val="Footer"/>
    <w:uiPriority w:val="99"/>
    <w:rsid w:val="009B654B"/>
    <w:rPr>
      <w:rFonts w:ascii="Arno Pro" w:eastAsia="Calibri" w:hAnsi="Arno Pro" w:cs="Times New Roman"/>
      <w:sz w:val="20"/>
      <w:szCs w:val="22"/>
      <w:lang w:val="en-US"/>
    </w:rPr>
  </w:style>
  <w:style w:type="character" w:styleId="PageNumber">
    <w:name w:val="page number"/>
    <w:basedOn w:val="DefaultParagraphFont"/>
    <w:uiPriority w:val="99"/>
    <w:semiHidden/>
    <w:unhideWhenUsed/>
    <w:rsid w:val="009B654B"/>
  </w:style>
  <w:style w:type="character" w:styleId="UnresolvedMention">
    <w:name w:val="Unresolved Mention"/>
    <w:basedOn w:val="DefaultParagraphFont"/>
    <w:uiPriority w:val="99"/>
    <w:semiHidden/>
    <w:unhideWhenUsed/>
    <w:rsid w:val="00285E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hantika3006@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doi.org/10.61990/ijamesc.v4i2.747"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portal.issn.org/resource/issn/2986-86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11</Pages>
  <Words>11892</Words>
  <Characters>67789</Characters>
  <Application>Microsoft Office Word</Application>
  <DocSecurity>0</DocSecurity>
  <Lines>564</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Arry Eksandy</dc:creator>
  <cp:keywords/>
  <dc:description/>
  <cp:lastModifiedBy>Microsoft Office User</cp:lastModifiedBy>
  <cp:revision>4</cp:revision>
  <cp:lastPrinted>2026-04-30T20:44:00Z</cp:lastPrinted>
  <dcterms:created xsi:type="dcterms:W3CDTF">2026-04-30T20:44:00Z</dcterms:created>
  <dcterms:modified xsi:type="dcterms:W3CDTF">2026-05-24T02:52:00Z</dcterms:modified>
</cp:coreProperties>
</file>